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B222" w14:textId="223AE006" w:rsidR="00EF555D" w:rsidRPr="00021103" w:rsidRDefault="00AA53FC" w:rsidP="00EF555D">
      <w:pPr>
        <w:pStyle w:val="Titolo"/>
        <w:jc w:val="center"/>
        <w:rPr>
          <w:rFonts w:ascii="Calibri Light" w:hAnsi="Calibri Light"/>
          <w:color w:val="1F4E79" w:themeColor="accent1" w:themeShade="80"/>
          <w:sz w:val="28"/>
          <w:szCs w:val="28"/>
          <w:lang w:val="it-IT"/>
        </w:rPr>
      </w:pPr>
      <w:r w:rsidRPr="00021103">
        <w:rPr>
          <w:rFonts w:ascii="Calibri Light" w:hAnsi="Calibri Light"/>
          <w:color w:val="1F4E79" w:themeColor="accent1" w:themeShade="80"/>
          <w:sz w:val="28"/>
          <w:szCs w:val="28"/>
          <w:lang w:val="it-IT"/>
        </w:rPr>
        <w:t>Ordinanza Commissariale n. 11/2023</w:t>
      </w:r>
    </w:p>
    <w:p w14:paraId="2E3EDBFF" w14:textId="2AD83810" w:rsidR="00AA53FC" w:rsidRPr="00F05C81" w:rsidRDefault="00AA53FC" w:rsidP="00AA53FC">
      <w:pPr>
        <w:pStyle w:val="Titolo"/>
        <w:jc w:val="center"/>
        <w:rPr>
          <w:rFonts w:ascii="Calibri Light" w:hAnsi="Calibri Light"/>
          <w:b/>
          <w:bCs/>
          <w:smallCaps/>
          <w:color w:val="1F4E79" w:themeColor="accent1" w:themeShade="80"/>
          <w:sz w:val="32"/>
          <w:szCs w:val="32"/>
          <w:lang w:val="it-IT"/>
        </w:rPr>
      </w:pPr>
      <w:r w:rsidRPr="00F05C81">
        <w:rPr>
          <w:rFonts w:ascii="Calibri Light" w:hAnsi="Calibri Light"/>
          <w:b/>
          <w:bCs/>
          <w:smallCaps/>
          <w:color w:val="1F4E79" w:themeColor="accent1" w:themeShade="80"/>
          <w:sz w:val="32"/>
          <w:szCs w:val="32"/>
          <w:lang w:val="it-IT"/>
        </w:rPr>
        <w:t>Quesiti Confindustria Romagna</w:t>
      </w:r>
    </w:p>
    <w:p w14:paraId="09628604" w14:textId="77777777" w:rsidR="00EF555D" w:rsidRPr="00F05C81" w:rsidRDefault="00EF555D" w:rsidP="00EF555D">
      <w:pPr>
        <w:rPr>
          <w:rFonts w:ascii="Calibri" w:hAnsi="Calibri"/>
          <w:b/>
          <w:bCs/>
          <w:spacing w:val="6"/>
          <w:sz w:val="2"/>
          <w:szCs w:val="2"/>
          <w:lang w:val="it-IT"/>
        </w:rPr>
      </w:pPr>
    </w:p>
    <w:p w14:paraId="6B732CB5" w14:textId="77777777" w:rsidR="00AD015B" w:rsidRPr="00F05C81" w:rsidRDefault="00EF555D" w:rsidP="0026487A">
      <w:pPr>
        <w:spacing w:after="0"/>
        <w:rPr>
          <w:rFonts w:cstheme="minorHAnsi"/>
          <w:lang w:val="it-IT"/>
        </w:rPr>
      </w:pPr>
      <w:r w:rsidRPr="00F05C81">
        <w:rPr>
          <w:rFonts w:ascii="Calibri" w:hAnsi="Calibri"/>
          <w:noProof/>
          <w:color w:val="FF0000"/>
          <w:spacing w:val="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D48A" wp14:editId="0354847C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6096000" cy="6350"/>
                <wp:effectExtent l="0" t="0" r="19050" b="317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A5F91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3pt" to="4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" strokecolor="#1f4d78 [1604]" strokeweight=".5pt">
                <v:stroke joinstyle="miter"/>
                <w10:wrap anchorx="margin"/>
              </v:line>
            </w:pict>
          </mc:Fallback>
        </mc:AlternateContent>
      </w:r>
    </w:p>
    <w:p w14:paraId="5C87EA95" w14:textId="34466D84" w:rsidR="00424E3E" w:rsidRPr="00F05C81" w:rsidRDefault="00D72CB4" w:rsidP="00AD015B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In</w:t>
      </w:r>
      <w:r w:rsidR="00424E3E" w:rsidRPr="00F05C81">
        <w:rPr>
          <w:rFonts w:cstheme="minorHAnsi"/>
          <w:lang w:val="it-IT"/>
        </w:rPr>
        <w:t xml:space="preserve"> riferimento </w:t>
      </w:r>
      <w:r w:rsidR="00AA53FC" w:rsidRPr="00F05C81">
        <w:rPr>
          <w:rFonts w:cstheme="minorHAnsi"/>
          <w:lang w:val="it-IT"/>
        </w:rPr>
        <w:t>all’Ordinanza Commissariale n. 11/2023 recante indicazioni operative per le imprese danneggiate dagli eventi alluvionali del maggio 2023 ai fini della richiesta di contributi</w:t>
      </w:r>
      <w:r w:rsidR="00424E3E" w:rsidRPr="00F05C81">
        <w:rPr>
          <w:rFonts w:cstheme="minorHAnsi"/>
          <w:lang w:val="it-IT"/>
        </w:rPr>
        <w:t xml:space="preserve">, Confindustria Emilia-Romagna </w:t>
      </w:r>
      <w:r w:rsidR="00021103">
        <w:rPr>
          <w:rFonts w:cstheme="minorHAnsi"/>
          <w:lang w:val="it-IT"/>
        </w:rPr>
        <w:t>elabora le prime indicazioni ai quesiti trasmessi da Confindustria Romagna</w:t>
      </w:r>
      <w:r w:rsidR="00424E3E" w:rsidRPr="00F05C81">
        <w:rPr>
          <w:rFonts w:cstheme="minorHAnsi"/>
          <w:lang w:val="it-IT"/>
        </w:rPr>
        <w:t>.</w:t>
      </w:r>
    </w:p>
    <w:p w14:paraId="4D3388A5" w14:textId="387B8B6F" w:rsidR="00D72CB4" w:rsidRPr="00F05C81" w:rsidRDefault="00D72CB4" w:rsidP="00B57C11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72567A2B" w14:textId="3B6EB503" w:rsidR="00C87DED" w:rsidRPr="00F05C81" w:rsidRDefault="00C87DED" w:rsidP="00C87DED">
      <w:pPr>
        <w:jc w:val="both"/>
        <w:rPr>
          <w:rFonts w:cstheme="minorHAnsi"/>
          <w:lang w:val="it-IT"/>
        </w:rPr>
      </w:pPr>
      <w:r w:rsidRPr="004E6666">
        <w:rPr>
          <w:rFonts w:cstheme="minorHAnsi"/>
          <w:b/>
          <w:bCs/>
          <w:smallCaps/>
          <w:highlight w:val="yellow"/>
          <w:lang w:val="it-IT"/>
        </w:rPr>
        <w:t xml:space="preserve">Quesito n. </w:t>
      </w:r>
      <w:r w:rsidR="0029723F" w:rsidRPr="004E6666">
        <w:rPr>
          <w:rFonts w:cstheme="minorHAnsi"/>
          <w:b/>
          <w:bCs/>
          <w:smallCaps/>
          <w:highlight w:val="yellow"/>
          <w:lang w:val="it-IT"/>
        </w:rPr>
        <w:t>1</w:t>
      </w:r>
    </w:p>
    <w:p w14:paraId="5D866677" w14:textId="44FB4364" w:rsidR="00C87DED" w:rsidRDefault="0059765B" w:rsidP="00C87DED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L’azienda si chiede se</w:t>
      </w:r>
      <w:r w:rsidR="00AA75B5">
        <w:rPr>
          <w:rFonts w:cstheme="minorHAnsi"/>
          <w:lang w:val="it-IT"/>
        </w:rPr>
        <w:t xml:space="preserve"> </w:t>
      </w:r>
      <w:r w:rsidR="00AA75B5" w:rsidRPr="00AA75B5">
        <w:rPr>
          <w:rFonts w:cstheme="minorHAnsi"/>
          <w:lang w:val="it-IT"/>
        </w:rPr>
        <w:t xml:space="preserve">in caso di mancata attivazione </w:t>
      </w:r>
      <w:r w:rsidR="00AA75B5">
        <w:rPr>
          <w:rFonts w:cstheme="minorHAnsi"/>
          <w:lang w:val="it-IT"/>
        </w:rPr>
        <w:t xml:space="preserve">della cd. </w:t>
      </w:r>
      <w:r w:rsidR="00AA75B5" w:rsidRPr="00AA75B5">
        <w:rPr>
          <w:rFonts w:cstheme="minorHAnsi"/>
          <w:lang w:val="it-IT"/>
        </w:rPr>
        <w:t xml:space="preserve">polizza </w:t>
      </w:r>
      <w:r w:rsidR="00AA75B5" w:rsidRPr="00AA75B5">
        <w:rPr>
          <w:rFonts w:cstheme="minorHAnsi"/>
          <w:i/>
          <w:iCs/>
          <w:lang w:val="it-IT"/>
        </w:rPr>
        <w:t>property</w:t>
      </w:r>
      <w:r w:rsidR="00AA75B5" w:rsidRPr="00AA75B5">
        <w:rPr>
          <w:rFonts w:cstheme="minorHAnsi"/>
          <w:lang w:val="it-IT"/>
        </w:rPr>
        <w:t xml:space="preserve">, </w:t>
      </w:r>
      <w:r w:rsidR="00AA75B5">
        <w:rPr>
          <w:rFonts w:cstheme="minorHAnsi"/>
          <w:lang w:val="it-IT"/>
        </w:rPr>
        <w:t>è ugualmente possibile presentare doman</w:t>
      </w:r>
      <w:r w:rsidR="00AA75B5" w:rsidRPr="00AA75B5">
        <w:rPr>
          <w:rFonts w:cstheme="minorHAnsi"/>
          <w:lang w:val="it-IT"/>
        </w:rPr>
        <w:t>da</w:t>
      </w:r>
      <w:r w:rsidR="00AA75B5">
        <w:rPr>
          <w:rFonts w:cstheme="minorHAnsi"/>
          <w:lang w:val="it-IT"/>
        </w:rPr>
        <w:t xml:space="preserve"> di accesso ai contributi di cui all’Ord. n. 11/2023</w:t>
      </w:r>
      <w:r w:rsidR="00C87DED" w:rsidRPr="00F05C81">
        <w:rPr>
          <w:rFonts w:cstheme="minorHAnsi"/>
          <w:lang w:val="it-IT"/>
        </w:rPr>
        <w:t>.</w:t>
      </w:r>
      <w:r w:rsidR="00344947" w:rsidRPr="00F05C81">
        <w:rPr>
          <w:rFonts w:cstheme="minorHAnsi"/>
          <w:lang w:val="it-IT"/>
        </w:rPr>
        <w:t xml:space="preserve"> </w:t>
      </w:r>
    </w:p>
    <w:p w14:paraId="1A5901BB" w14:textId="09563D67" w:rsidR="00594A26" w:rsidRPr="000C1BCD" w:rsidRDefault="006F2F39" w:rsidP="00C87DED">
      <w:pPr>
        <w:jc w:val="both"/>
        <w:rPr>
          <w:rFonts w:cstheme="minorHAnsi"/>
          <w:b/>
          <w:bCs/>
          <w:i/>
          <w:iCs/>
          <w:lang w:val="it-IT"/>
        </w:rPr>
      </w:pPr>
      <w:r>
        <w:rPr>
          <w:rFonts w:cstheme="minorHAnsi"/>
          <w:i/>
          <w:iCs/>
          <w:lang w:val="it-IT"/>
        </w:rPr>
        <w:t>SUGGERIMENTO</w:t>
      </w:r>
      <w:r w:rsidR="00594A26" w:rsidRPr="00594A26">
        <w:rPr>
          <w:rFonts w:cstheme="minorHAnsi"/>
          <w:i/>
          <w:iCs/>
          <w:lang w:val="it-IT"/>
        </w:rPr>
        <w:t xml:space="preserve"> RISPOSTA: non mi risulta che la polizza sia obbligatoria e quindi è possibile presentare domanda. Diversamente, </w:t>
      </w:r>
      <w:r w:rsidR="00DE3231">
        <w:rPr>
          <w:rFonts w:cstheme="minorHAnsi"/>
          <w:i/>
          <w:iCs/>
          <w:lang w:val="it-IT"/>
        </w:rPr>
        <w:t xml:space="preserve">in caso di obbligatorietà della polizza, in assenza di quest’ultima è probabile che </w:t>
      </w:r>
      <w:r w:rsidR="00594A26" w:rsidRPr="00594A26">
        <w:rPr>
          <w:rFonts w:cstheme="minorHAnsi"/>
          <w:i/>
          <w:iCs/>
          <w:lang w:val="it-IT"/>
        </w:rPr>
        <w:t xml:space="preserve">l’accesso al contributo </w:t>
      </w:r>
      <w:r w:rsidR="00DE3231">
        <w:rPr>
          <w:rFonts w:cstheme="minorHAnsi"/>
          <w:i/>
          <w:iCs/>
          <w:lang w:val="it-IT"/>
        </w:rPr>
        <w:t>venga</w:t>
      </w:r>
      <w:r w:rsidR="00594A26" w:rsidRPr="00594A26">
        <w:rPr>
          <w:rFonts w:cstheme="minorHAnsi"/>
          <w:i/>
          <w:iCs/>
          <w:lang w:val="it-IT"/>
        </w:rPr>
        <w:t xml:space="preserve"> negato</w:t>
      </w:r>
      <w:r w:rsidR="00DE3231">
        <w:rPr>
          <w:rFonts w:cstheme="minorHAnsi"/>
          <w:i/>
          <w:iCs/>
          <w:lang w:val="it-IT"/>
        </w:rPr>
        <w:t>.</w:t>
      </w:r>
      <w:r w:rsidR="000C1BCD">
        <w:rPr>
          <w:rFonts w:cstheme="minorHAnsi"/>
          <w:i/>
          <w:iCs/>
          <w:lang w:val="it-IT"/>
        </w:rPr>
        <w:t xml:space="preserve"> </w:t>
      </w:r>
      <w:r w:rsidR="000C1BCD" w:rsidRPr="000C1BCD">
        <w:rPr>
          <w:rFonts w:cstheme="minorHAnsi"/>
          <w:b/>
          <w:bCs/>
          <w:i/>
          <w:iCs/>
          <w:lang w:val="it-IT"/>
        </w:rPr>
        <w:t>Ad ogni modo, indipendentemente dall’obbligatorietà o meno della polizza, in generale se è stata stipulata un’assicurazione occorre darne atto e seguire le disposizioni di cui all’art. 8, Ord. n. 11/2023.</w:t>
      </w:r>
    </w:p>
    <w:p w14:paraId="7C72B482" w14:textId="77777777" w:rsidR="002913FE" w:rsidRPr="00F05C81" w:rsidRDefault="002913FE" w:rsidP="00B57C11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5783C9A0" w14:textId="4095C1BE" w:rsidR="002913FE" w:rsidRPr="00F05C81" w:rsidRDefault="002913FE" w:rsidP="002913FE">
      <w:pPr>
        <w:jc w:val="both"/>
        <w:rPr>
          <w:rFonts w:cstheme="minorHAnsi"/>
          <w:lang w:val="it-IT"/>
        </w:rPr>
      </w:pPr>
      <w:r w:rsidRPr="00B7641E">
        <w:rPr>
          <w:rFonts w:cstheme="minorHAnsi"/>
          <w:b/>
          <w:bCs/>
          <w:smallCaps/>
          <w:highlight w:val="yellow"/>
          <w:lang w:val="it-IT"/>
        </w:rPr>
        <w:t xml:space="preserve">Quesito n. </w:t>
      </w:r>
      <w:r w:rsidR="0029723F" w:rsidRPr="00B7641E">
        <w:rPr>
          <w:rFonts w:cstheme="minorHAnsi"/>
          <w:b/>
          <w:bCs/>
          <w:smallCaps/>
          <w:highlight w:val="yellow"/>
          <w:lang w:val="it-IT"/>
        </w:rPr>
        <w:t>2</w:t>
      </w:r>
      <w:r w:rsidR="00DE3231">
        <w:rPr>
          <w:rFonts w:cstheme="minorHAnsi"/>
          <w:b/>
          <w:bCs/>
          <w:smallCaps/>
          <w:lang w:val="it-IT"/>
        </w:rPr>
        <w:t xml:space="preserve"> </w:t>
      </w:r>
    </w:p>
    <w:p w14:paraId="43D83200" w14:textId="1E2B0AE1" w:rsidR="00424E3E" w:rsidRDefault="0059765B" w:rsidP="006D2636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L’impres</w:t>
      </w:r>
      <w:r w:rsidR="006D2636">
        <w:rPr>
          <w:rFonts w:cstheme="minorHAnsi"/>
          <w:lang w:val="it-IT"/>
        </w:rPr>
        <w:t>a</w:t>
      </w:r>
      <w:r w:rsidRPr="00F05C81">
        <w:rPr>
          <w:rFonts w:cstheme="minorHAnsi"/>
          <w:lang w:val="it-IT"/>
        </w:rPr>
        <w:t xml:space="preserve"> </w:t>
      </w:r>
      <w:r w:rsidR="00AA75B5">
        <w:rPr>
          <w:rFonts w:cstheme="minorHAnsi"/>
          <w:lang w:val="it-IT"/>
        </w:rPr>
        <w:t>richiede chiarimenti in merito alla</w:t>
      </w:r>
      <w:r w:rsidRPr="00F05C81">
        <w:rPr>
          <w:rFonts w:cstheme="minorHAnsi"/>
          <w:lang w:val="it-IT"/>
        </w:rPr>
        <w:t xml:space="preserve"> </w:t>
      </w:r>
      <w:r w:rsidR="00AA75B5" w:rsidRPr="00AA75B5">
        <w:rPr>
          <w:rFonts w:cstheme="minorHAnsi"/>
          <w:lang w:val="it-IT"/>
        </w:rPr>
        <w:t xml:space="preserve">distinzione tra </w:t>
      </w:r>
      <w:r w:rsidR="00AA75B5">
        <w:rPr>
          <w:rFonts w:cstheme="minorHAnsi"/>
          <w:lang w:val="it-IT"/>
        </w:rPr>
        <w:t>il punto</w:t>
      </w:r>
      <w:r w:rsidR="00AA75B5" w:rsidRPr="00AA75B5">
        <w:rPr>
          <w:rFonts w:cstheme="minorHAnsi"/>
          <w:lang w:val="it-IT"/>
        </w:rPr>
        <w:t xml:space="preserve"> e) </w:t>
      </w:r>
      <w:r w:rsidR="006D2636">
        <w:rPr>
          <w:rFonts w:cstheme="minorHAnsi"/>
          <w:lang w:val="it-IT"/>
        </w:rPr>
        <w:t>(</w:t>
      </w:r>
      <w:r w:rsidR="006D2636" w:rsidRPr="006D2636">
        <w:rPr>
          <w:rFonts w:cstheme="minorHAnsi"/>
          <w:i/>
          <w:iCs/>
          <w:lang w:val="it-IT"/>
        </w:rPr>
        <w:t>riparazione dei beni mobili strumentali</w:t>
      </w:r>
      <w:r w:rsidR="006D2636">
        <w:rPr>
          <w:rFonts w:cstheme="minorHAnsi"/>
          <w:lang w:val="it-IT"/>
        </w:rPr>
        <w:t xml:space="preserve">), </w:t>
      </w:r>
      <w:r w:rsidR="00AA75B5">
        <w:rPr>
          <w:rFonts w:cstheme="minorHAnsi"/>
          <w:lang w:val="it-IT"/>
        </w:rPr>
        <w:t xml:space="preserve">il punto </w:t>
      </w:r>
      <w:r w:rsidR="00AA75B5" w:rsidRPr="00AA75B5">
        <w:rPr>
          <w:rFonts w:cstheme="minorHAnsi"/>
          <w:lang w:val="it-IT"/>
        </w:rPr>
        <w:t>f)</w:t>
      </w:r>
      <w:r w:rsidR="006D2636">
        <w:rPr>
          <w:rFonts w:cstheme="minorHAnsi"/>
          <w:lang w:val="it-IT"/>
        </w:rPr>
        <w:t xml:space="preserve"> (</w:t>
      </w:r>
      <w:r w:rsidR="006D2636" w:rsidRPr="006D2636">
        <w:rPr>
          <w:rFonts w:cstheme="minorHAnsi"/>
          <w:i/>
          <w:iCs/>
          <w:lang w:val="it-IT"/>
        </w:rPr>
        <w:t>acquisto dei beni mobili strumentali</w:t>
      </w:r>
      <w:r w:rsidR="006D2636">
        <w:rPr>
          <w:rFonts w:cstheme="minorHAnsi"/>
          <w:lang w:val="it-IT"/>
        </w:rPr>
        <w:t>), e il punto h) (</w:t>
      </w:r>
      <w:r w:rsidR="006D2636" w:rsidRPr="006D2636">
        <w:rPr>
          <w:rFonts w:cstheme="minorHAnsi"/>
          <w:i/>
          <w:iCs/>
          <w:lang w:val="it-IT"/>
        </w:rPr>
        <w:t>ripristino o sostituzione</w:t>
      </w:r>
      <w:r w:rsidR="006D2636">
        <w:rPr>
          <w:rFonts w:cstheme="minorHAnsi"/>
          <w:lang w:val="it-IT"/>
        </w:rPr>
        <w:t xml:space="preserve"> […]</w:t>
      </w:r>
      <w:r w:rsidR="006D2636" w:rsidRPr="006D2636">
        <w:rPr>
          <w:rFonts w:cstheme="minorHAnsi"/>
          <w:lang w:val="it-IT"/>
        </w:rPr>
        <w:t xml:space="preserve"> </w:t>
      </w:r>
      <w:r w:rsidR="006D2636" w:rsidRPr="006D2636">
        <w:rPr>
          <w:rFonts w:cstheme="minorHAnsi"/>
          <w:i/>
          <w:iCs/>
          <w:lang w:val="it-IT"/>
        </w:rPr>
        <w:t>degli impianti relativi al ciclo produttivo distrutti o danneggiati</w:t>
      </w:r>
      <w:r w:rsidR="006D2636">
        <w:rPr>
          <w:rFonts w:cstheme="minorHAnsi"/>
          <w:lang w:val="it-IT"/>
        </w:rPr>
        <w:t>), Parte B,</w:t>
      </w:r>
      <w:r w:rsidR="00AA75B5" w:rsidRPr="00AA75B5">
        <w:rPr>
          <w:rFonts w:cstheme="minorHAnsi"/>
          <w:lang w:val="it-IT"/>
        </w:rPr>
        <w:t xml:space="preserve"> </w:t>
      </w:r>
      <w:r w:rsidR="00AA75B5">
        <w:rPr>
          <w:rFonts w:cstheme="minorHAnsi"/>
          <w:lang w:val="it-IT"/>
        </w:rPr>
        <w:t>All</w:t>
      </w:r>
      <w:r w:rsidR="00AA75B5" w:rsidRPr="00AA75B5">
        <w:rPr>
          <w:rFonts w:cstheme="minorHAnsi"/>
          <w:lang w:val="it-IT"/>
        </w:rPr>
        <w:t>.</w:t>
      </w:r>
      <w:r w:rsidR="00AA75B5">
        <w:rPr>
          <w:rFonts w:cstheme="minorHAnsi"/>
          <w:lang w:val="it-IT"/>
        </w:rPr>
        <w:t xml:space="preserve"> </w:t>
      </w:r>
      <w:r w:rsidR="00AA75B5" w:rsidRPr="00AA75B5">
        <w:rPr>
          <w:rFonts w:cstheme="minorHAnsi"/>
          <w:lang w:val="it-IT"/>
        </w:rPr>
        <w:t>3</w:t>
      </w:r>
      <w:r w:rsidR="00900BAF">
        <w:rPr>
          <w:rFonts w:cstheme="minorHAnsi"/>
          <w:lang w:val="it-IT"/>
        </w:rPr>
        <w:t>, corrispondente alla lett. e), h) ed f), comma 1, art. 3 dell’Ord. n. 11/2023</w:t>
      </w:r>
      <w:r w:rsidR="006D2636">
        <w:rPr>
          <w:rFonts w:cstheme="minorHAnsi"/>
          <w:lang w:val="it-IT"/>
        </w:rPr>
        <w:t xml:space="preserve">. </w:t>
      </w:r>
      <w:r w:rsidR="006D2636" w:rsidRPr="00E31D9B">
        <w:rPr>
          <w:rFonts w:cstheme="minorHAnsi"/>
          <w:highlight w:val="yellow"/>
          <w:lang w:val="it-IT"/>
        </w:rPr>
        <w:t xml:space="preserve">In particolare, ci si domanda se </w:t>
      </w:r>
      <w:r w:rsidR="00AA75B5" w:rsidRPr="00E31D9B">
        <w:rPr>
          <w:rFonts w:cstheme="minorHAnsi"/>
          <w:highlight w:val="yellow"/>
          <w:lang w:val="it-IT"/>
        </w:rPr>
        <w:t xml:space="preserve">il requisito distintivo </w:t>
      </w:r>
      <w:r w:rsidR="006D2636" w:rsidRPr="00E31D9B">
        <w:rPr>
          <w:rFonts w:cstheme="minorHAnsi"/>
          <w:highlight w:val="yellow"/>
          <w:lang w:val="it-IT"/>
        </w:rPr>
        <w:t>sia</w:t>
      </w:r>
      <w:r w:rsidR="00AA75B5" w:rsidRPr="00E31D9B">
        <w:rPr>
          <w:rFonts w:cstheme="minorHAnsi"/>
          <w:highlight w:val="yellow"/>
          <w:lang w:val="it-IT"/>
        </w:rPr>
        <w:t xml:space="preserve"> la "mobilità" (beni mobili), inteso come? senza ausilio di mezzi di supporto (muletto, gru)? con mezzi di supporto tutto è mobile?</w:t>
      </w:r>
    </w:p>
    <w:p w14:paraId="2F4B1376" w14:textId="08B7F9D5" w:rsidR="00E31D9B" w:rsidRPr="00594A26" w:rsidRDefault="006F2F39" w:rsidP="00116FAA">
      <w:pPr>
        <w:jc w:val="both"/>
        <w:rPr>
          <w:rFonts w:cstheme="minorHAnsi"/>
          <w:i/>
          <w:iCs/>
          <w:lang w:val="it-IT"/>
        </w:rPr>
      </w:pPr>
      <w:r>
        <w:rPr>
          <w:rFonts w:cstheme="minorHAnsi"/>
          <w:i/>
          <w:iCs/>
          <w:lang w:val="it-IT"/>
        </w:rPr>
        <w:t>SUGGERIMENTO</w:t>
      </w:r>
      <w:r w:rsidR="00594A26" w:rsidRPr="00116FAA">
        <w:rPr>
          <w:rFonts w:cstheme="minorHAnsi"/>
          <w:i/>
          <w:iCs/>
          <w:lang w:val="it-IT"/>
        </w:rPr>
        <w:t xml:space="preserve"> </w:t>
      </w:r>
      <w:r w:rsidR="00E31D9B" w:rsidRPr="00116FAA">
        <w:rPr>
          <w:rFonts w:cstheme="minorHAnsi"/>
          <w:i/>
          <w:iCs/>
          <w:lang w:val="it-IT"/>
        </w:rPr>
        <w:t>RISPOSTA</w:t>
      </w:r>
      <w:r w:rsidR="00594A26" w:rsidRPr="00116FAA">
        <w:rPr>
          <w:rFonts w:cstheme="minorHAnsi"/>
          <w:i/>
          <w:iCs/>
          <w:lang w:val="it-IT"/>
        </w:rPr>
        <w:t xml:space="preserve">: il testo fa riferimento all’istituto giuridico dei beni mobili di cui all’art. 812 c.c., individuati per esclusione, e quindi non </w:t>
      </w:r>
      <w:r w:rsidR="00116FAA" w:rsidRPr="00116FAA">
        <w:rPr>
          <w:rFonts w:cstheme="minorHAnsi"/>
          <w:i/>
          <w:iCs/>
          <w:lang w:val="it-IT"/>
        </w:rPr>
        <w:t>al sostantivo</w:t>
      </w:r>
      <w:r w:rsidR="00594A26" w:rsidRPr="00116FAA">
        <w:rPr>
          <w:rFonts w:cstheme="minorHAnsi"/>
          <w:i/>
          <w:iCs/>
          <w:lang w:val="it-IT"/>
        </w:rPr>
        <w:t xml:space="preserve"> “mobilità”</w:t>
      </w:r>
      <w:r w:rsidR="00116FAA" w:rsidRPr="00116FAA">
        <w:rPr>
          <w:rFonts w:cstheme="minorHAnsi"/>
          <w:i/>
          <w:iCs/>
          <w:lang w:val="it-IT"/>
        </w:rPr>
        <w:t xml:space="preserve"> inteso come caratteristica di ciò che è mobile, che si può trasportare da un luogo ad un altro.</w:t>
      </w:r>
      <w:r w:rsidR="00116FAA">
        <w:rPr>
          <w:rFonts w:cstheme="minorHAnsi"/>
          <w:i/>
          <w:iCs/>
          <w:lang w:val="it-IT"/>
        </w:rPr>
        <w:t xml:space="preserve"> Inoltre, la definizione di bene mobile strumentale ai fini dell’Ord. 11/2023 è espressa nell’art. 1, c. 3, lett. a): “</w:t>
      </w:r>
      <w:r w:rsidR="00116FAA" w:rsidRPr="00116FAA">
        <w:rPr>
          <w:rFonts w:cstheme="minorHAnsi"/>
          <w:lang w:val="it-IT"/>
        </w:rPr>
        <w:t>[…]</w:t>
      </w:r>
      <w:r w:rsidR="00116FAA">
        <w:rPr>
          <w:rFonts w:cstheme="minorHAnsi"/>
          <w:i/>
          <w:iCs/>
          <w:lang w:val="it-IT"/>
        </w:rPr>
        <w:t xml:space="preserve"> </w:t>
      </w:r>
      <w:r w:rsidR="00E31D9B" w:rsidRPr="00594A26">
        <w:rPr>
          <w:rFonts w:cstheme="minorHAnsi"/>
          <w:i/>
          <w:iCs/>
          <w:lang w:val="it-IT"/>
        </w:rPr>
        <w:t>beni mobili strumentali: i beni, ivi compresi macchinari, impianti e attrezzature, presenti nel libro dei beni ammortizzabili o nel libro inventario o, per le imprese in esenzione da tali obblighi, presenti in documenti contabili o altri registri, ai sensi di quanto previsto dal decreto del Presidente della Repubblica 29 settembre 1973, n. 600, recante “Disposizioni comuni in materia di accertamento delle imposte sui redditi”</w:t>
      </w:r>
      <w:r w:rsidR="00116FAA">
        <w:rPr>
          <w:rFonts w:cstheme="minorHAnsi"/>
          <w:i/>
          <w:iCs/>
          <w:lang w:val="it-IT"/>
        </w:rPr>
        <w:t>.</w:t>
      </w:r>
    </w:p>
    <w:p w14:paraId="60336FAB" w14:textId="77777777" w:rsidR="002913FE" w:rsidRPr="00F05C81" w:rsidRDefault="002913FE" w:rsidP="00B57C11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304FEFBA" w14:textId="59EC13D3" w:rsidR="002913FE" w:rsidRPr="00F05C81" w:rsidRDefault="002913FE" w:rsidP="002913FE">
      <w:pPr>
        <w:jc w:val="both"/>
        <w:rPr>
          <w:rFonts w:cstheme="minorHAnsi"/>
          <w:lang w:val="it-IT"/>
        </w:rPr>
      </w:pPr>
      <w:r w:rsidRPr="000C1BCD">
        <w:rPr>
          <w:rFonts w:cstheme="minorHAnsi"/>
          <w:b/>
          <w:bCs/>
          <w:smallCaps/>
          <w:highlight w:val="yellow"/>
          <w:lang w:val="it-IT"/>
        </w:rPr>
        <w:t xml:space="preserve">Quesito n. </w:t>
      </w:r>
      <w:r w:rsidR="0029723F" w:rsidRPr="000C1BCD">
        <w:rPr>
          <w:rFonts w:cstheme="minorHAnsi"/>
          <w:b/>
          <w:bCs/>
          <w:smallCaps/>
          <w:highlight w:val="yellow"/>
          <w:lang w:val="it-IT"/>
        </w:rPr>
        <w:t>3</w:t>
      </w:r>
    </w:p>
    <w:p w14:paraId="36141FF9" w14:textId="66E8DBEC" w:rsidR="00070C53" w:rsidRDefault="004E6666" w:rsidP="002913FE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</w:t>
      </w:r>
      <w:r w:rsidR="00B7641E">
        <w:rPr>
          <w:rFonts w:cstheme="minorHAnsi"/>
          <w:lang w:val="it-IT"/>
        </w:rPr>
        <w:t xml:space="preserve">’azienda domanda la procedura </w:t>
      </w:r>
      <w:r w:rsidR="003668E8">
        <w:rPr>
          <w:rFonts w:cstheme="minorHAnsi"/>
          <w:lang w:val="it-IT"/>
        </w:rPr>
        <w:t xml:space="preserve">da seguire </w:t>
      </w:r>
      <w:r w:rsidR="00B7641E">
        <w:rPr>
          <w:rFonts w:cstheme="minorHAnsi"/>
          <w:lang w:val="it-IT"/>
        </w:rPr>
        <w:t>per dedurre</w:t>
      </w:r>
      <w:r w:rsidR="00B7641E" w:rsidRPr="00B7641E">
        <w:rPr>
          <w:rFonts w:cstheme="minorHAnsi"/>
          <w:lang w:val="it-IT"/>
        </w:rPr>
        <w:t xml:space="preserve"> un contributo </w:t>
      </w:r>
      <w:r>
        <w:rPr>
          <w:rFonts w:cstheme="minorHAnsi"/>
          <w:lang w:val="it-IT"/>
        </w:rPr>
        <w:t xml:space="preserve">omnicomprensivo </w:t>
      </w:r>
      <w:r w:rsidR="00B7641E" w:rsidRPr="00B7641E">
        <w:rPr>
          <w:rFonts w:cstheme="minorHAnsi"/>
          <w:lang w:val="it-IT"/>
        </w:rPr>
        <w:t>già percepito</w:t>
      </w:r>
      <w:r w:rsidR="00573BDB">
        <w:rPr>
          <w:rFonts w:cstheme="minorHAnsi"/>
          <w:lang w:val="it-IT"/>
        </w:rPr>
        <w:t xml:space="preserve"> (nella specie, un contributo SIMEST)</w:t>
      </w:r>
      <w:r w:rsidR="00B7641E">
        <w:rPr>
          <w:rFonts w:cstheme="minorHAnsi"/>
          <w:lang w:val="it-IT"/>
        </w:rPr>
        <w:t xml:space="preserve">. In particolare, il dubbio attiene se sia necessario procedere in </w:t>
      </w:r>
      <w:r w:rsidR="00B7641E" w:rsidRPr="00B7641E">
        <w:rPr>
          <w:rFonts w:cstheme="minorHAnsi"/>
          <w:lang w:val="it-IT"/>
        </w:rPr>
        <w:t>modo dettagliato</w:t>
      </w:r>
      <w:r w:rsidR="00B7641E">
        <w:rPr>
          <w:rFonts w:cstheme="minorHAnsi"/>
          <w:lang w:val="it-IT"/>
        </w:rPr>
        <w:t xml:space="preserve"> e</w:t>
      </w:r>
      <w:r w:rsidR="00B7641E" w:rsidRPr="00B7641E">
        <w:rPr>
          <w:rFonts w:cstheme="minorHAnsi"/>
          <w:lang w:val="it-IT"/>
        </w:rPr>
        <w:t xml:space="preserve"> specifico per ogni voce di domanda sec</w:t>
      </w:r>
      <w:r w:rsidR="00573BDB">
        <w:rPr>
          <w:rFonts w:cstheme="minorHAnsi"/>
          <w:lang w:val="it-IT"/>
        </w:rPr>
        <w:t xml:space="preserve">ondo la tabella presente nella </w:t>
      </w:r>
      <w:r w:rsidR="00455C95" w:rsidRPr="00455C95">
        <w:rPr>
          <w:rFonts w:cstheme="minorHAnsi"/>
          <w:lang w:val="it-IT"/>
        </w:rPr>
        <w:t xml:space="preserve">SEZIONE 8 - </w:t>
      </w:r>
      <w:r w:rsidR="00455C95" w:rsidRPr="00455C95">
        <w:rPr>
          <w:rFonts w:cstheme="minorHAnsi"/>
          <w:i/>
          <w:iCs/>
          <w:lang w:val="it-IT"/>
        </w:rPr>
        <w:t>Indennizzi assicurativi, crediti d’imposta o altre tipologie di contributi e stato di legittimità</w:t>
      </w:r>
      <w:r w:rsidR="00573BDB">
        <w:rPr>
          <w:rFonts w:cstheme="minorHAnsi"/>
          <w:lang w:val="it-IT"/>
        </w:rPr>
        <w:t>, oppure se sia sufficiente indicare l’intero importo percepito.</w:t>
      </w:r>
      <w:r w:rsidR="00B7641E">
        <w:rPr>
          <w:rFonts w:cstheme="minorHAnsi"/>
          <w:lang w:val="it-IT"/>
        </w:rPr>
        <w:t xml:space="preserve"> </w:t>
      </w:r>
    </w:p>
    <w:p w14:paraId="295609F5" w14:textId="01A93241" w:rsidR="000C1BCD" w:rsidRPr="00F05C81" w:rsidRDefault="000C1BCD" w:rsidP="002913FE">
      <w:pPr>
        <w:jc w:val="both"/>
        <w:rPr>
          <w:rFonts w:cstheme="minorHAnsi"/>
          <w:lang w:val="it-IT"/>
        </w:rPr>
      </w:pPr>
      <w:r>
        <w:rPr>
          <w:rFonts w:cstheme="minorHAnsi"/>
          <w:i/>
          <w:iCs/>
          <w:lang w:val="it-IT"/>
        </w:rPr>
        <w:lastRenderedPageBreak/>
        <w:t>SUGGERIMENTO</w:t>
      </w:r>
      <w:r w:rsidRPr="00116FAA">
        <w:rPr>
          <w:rFonts w:cstheme="minorHAnsi"/>
          <w:i/>
          <w:iCs/>
          <w:lang w:val="it-IT"/>
        </w:rPr>
        <w:t xml:space="preserve"> RISPOSTA: </w:t>
      </w:r>
      <w:r w:rsidR="002550E0">
        <w:rPr>
          <w:rFonts w:cstheme="minorHAnsi"/>
          <w:i/>
          <w:iCs/>
          <w:lang w:val="it-IT"/>
        </w:rPr>
        <w:t xml:space="preserve">per quanto a nostra conoscenza, dovrebbe essere </w:t>
      </w:r>
      <w:r w:rsidR="008C759A">
        <w:rPr>
          <w:rFonts w:cstheme="minorHAnsi"/>
          <w:i/>
          <w:iCs/>
          <w:lang w:val="it-IT"/>
        </w:rPr>
        <w:t>sufficiente indicare l’intera somma corrispondente a</w:t>
      </w:r>
      <w:r w:rsidRPr="00116FAA">
        <w:rPr>
          <w:rFonts w:cstheme="minorHAnsi"/>
          <w:i/>
          <w:iCs/>
          <w:lang w:val="it-IT"/>
        </w:rPr>
        <w:t>l</w:t>
      </w:r>
      <w:r>
        <w:rPr>
          <w:rFonts w:cstheme="minorHAnsi"/>
          <w:i/>
          <w:iCs/>
          <w:lang w:val="it-IT"/>
        </w:rPr>
        <w:t xml:space="preserve"> contributo omnicomprensivo già percepito</w:t>
      </w:r>
      <w:r w:rsidR="008C759A">
        <w:rPr>
          <w:rFonts w:cstheme="minorHAnsi"/>
          <w:i/>
          <w:iCs/>
          <w:lang w:val="it-IT"/>
        </w:rPr>
        <w:t xml:space="preserve">. </w:t>
      </w:r>
    </w:p>
    <w:p w14:paraId="599954A6" w14:textId="77777777" w:rsidR="00070C53" w:rsidRPr="00F05C81" w:rsidRDefault="00070C53" w:rsidP="00B57C11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6A5157C4" w14:textId="0696075C" w:rsidR="00070C53" w:rsidRPr="00F05C81" w:rsidRDefault="00070C53" w:rsidP="00070C53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b/>
          <w:bCs/>
          <w:smallCaps/>
          <w:lang w:val="it-IT"/>
        </w:rPr>
        <w:t xml:space="preserve">Quesito n. </w:t>
      </w:r>
      <w:r w:rsidR="0029723F" w:rsidRPr="00F05C81">
        <w:rPr>
          <w:rFonts w:cstheme="minorHAnsi"/>
          <w:b/>
          <w:bCs/>
          <w:smallCaps/>
          <w:lang w:val="it-IT"/>
        </w:rPr>
        <w:t>4</w:t>
      </w:r>
      <w:r w:rsidR="00021103">
        <w:rPr>
          <w:rFonts w:cstheme="minorHAnsi"/>
          <w:b/>
          <w:bCs/>
          <w:smallCaps/>
          <w:lang w:val="it-IT"/>
        </w:rPr>
        <w:t xml:space="preserve"> – questione da approfondire</w:t>
      </w:r>
    </w:p>
    <w:p w14:paraId="3D721D85" w14:textId="71FB50FF" w:rsidR="002913FE" w:rsidRPr="00F05C81" w:rsidRDefault="006A6729" w:rsidP="002913FE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L’impresa chiede precisazioni in merito</w:t>
      </w:r>
      <w:r w:rsidR="00747E85">
        <w:rPr>
          <w:rFonts w:cstheme="minorHAnsi"/>
          <w:lang w:val="it-IT"/>
        </w:rPr>
        <w:t xml:space="preserve"> ai costi connessi alla delocalizzazione di cui al punto</w:t>
      </w:r>
      <w:r w:rsidRPr="006A6729">
        <w:rPr>
          <w:rFonts w:cstheme="minorHAnsi"/>
          <w:lang w:val="it-IT"/>
        </w:rPr>
        <w:t xml:space="preserve"> c), </w:t>
      </w:r>
      <w:r w:rsidR="00747E85">
        <w:rPr>
          <w:rFonts w:cstheme="minorHAnsi"/>
          <w:lang w:val="it-IT"/>
        </w:rPr>
        <w:t>Sezione 4</w:t>
      </w:r>
      <w:r w:rsidR="00900BAF">
        <w:rPr>
          <w:rFonts w:cstheme="minorHAnsi"/>
          <w:lang w:val="it-IT"/>
        </w:rPr>
        <w:t>, Parte B</w:t>
      </w:r>
      <w:r w:rsidR="00747E85">
        <w:rPr>
          <w:rFonts w:cstheme="minorHAnsi"/>
          <w:lang w:val="it-IT"/>
        </w:rPr>
        <w:t xml:space="preserve">, </w:t>
      </w:r>
      <w:r w:rsidRPr="006A6729">
        <w:rPr>
          <w:rFonts w:cstheme="minorHAnsi"/>
          <w:lang w:val="it-IT"/>
        </w:rPr>
        <w:t>A</w:t>
      </w:r>
      <w:r w:rsidR="00747E85">
        <w:rPr>
          <w:rFonts w:cstheme="minorHAnsi"/>
          <w:lang w:val="it-IT"/>
        </w:rPr>
        <w:t>ll</w:t>
      </w:r>
      <w:r w:rsidRPr="006A6729">
        <w:rPr>
          <w:rFonts w:cstheme="minorHAnsi"/>
          <w:lang w:val="it-IT"/>
        </w:rPr>
        <w:t>.</w:t>
      </w:r>
      <w:r w:rsidR="00747E85">
        <w:rPr>
          <w:rFonts w:cstheme="minorHAnsi"/>
          <w:lang w:val="it-IT"/>
        </w:rPr>
        <w:t xml:space="preserve"> </w:t>
      </w:r>
      <w:r w:rsidRPr="006A6729">
        <w:rPr>
          <w:rFonts w:cstheme="minorHAnsi"/>
          <w:lang w:val="it-IT"/>
        </w:rPr>
        <w:t>3</w:t>
      </w:r>
      <w:r w:rsidR="00900BAF">
        <w:rPr>
          <w:rFonts w:cstheme="minorHAnsi"/>
          <w:lang w:val="it-IT"/>
        </w:rPr>
        <w:t>, corrispondente alla lett. c), comma 1, art. 3 dell’Ord. n. 11/2023</w:t>
      </w:r>
      <w:r w:rsidRPr="006A6729">
        <w:rPr>
          <w:rFonts w:cstheme="minorHAnsi"/>
          <w:lang w:val="it-IT"/>
        </w:rPr>
        <w:t xml:space="preserve">: </w:t>
      </w:r>
      <w:r w:rsidR="00747E85">
        <w:rPr>
          <w:rFonts w:cstheme="minorHAnsi"/>
          <w:lang w:val="it-IT"/>
        </w:rPr>
        <w:t xml:space="preserve">in particolare, il riferimento alla delocalizzazione </w:t>
      </w:r>
      <w:r w:rsidRPr="006A6729">
        <w:rPr>
          <w:rFonts w:cstheme="minorHAnsi"/>
          <w:lang w:val="it-IT"/>
        </w:rPr>
        <w:t xml:space="preserve">è intesa come ricostruzione temporanea di immobili provvisori? </w:t>
      </w:r>
      <w:r w:rsidR="00747E85">
        <w:rPr>
          <w:rFonts w:cstheme="minorHAnsi"/>
          <w:lang w:val="it-IT"/>
        </w:rPr>
        <w:t>C</w:t>
      </w:r>
      <w:r w:rsidRPr="006A6729">
        <w:rPr>
          <w:rFonts w:cstheme="minorHAnsi"/>
          <w:lang w:val="it-IT"/>
        </w:rPr>
        <w:t xml:space="preserve">iò in quanto </w:t>
      </w:r>
      <w:r w:rsidR="00747E85">
        <w:rPr>
          <w:rFonts w:cstheme="minorHAnsi"/>
          <w:lang w:val="it-IT"/>
        </w:rPr>
        <w:t>il punto</w:t>
      </w:r>
      <w:r w:rsidRPr="006A6729">
        <w:rPr>
          <w:rFonts w:cstheme="minorHAnsi"/>
          <w:lang w:val="it-IT"/>
        </w:rPr>
        <w:t xml:space="preserve"> v) </w:t>
      </w:r>
      <w:r w:rsidR="00747E85">
        <w:rPr>
          <w:rFonts w:cstheme="minorHAnsi"/>
          <w:lang w:val="it-IT"/>
        </w:rPr>
        <w:t xml:space="preserve">referito sempre alla </w:t>
      </w:r>
      <w:r w:rsidRPr="006A6729">
        <w:rPr>
          <w:rFonts w:cstheme="minorHAnsi"/>
          <w:lang w:val="it-IT"/>
        </w:rPr>
        <w:t>delocalizzazione temporanea include tutti i costi temporanei ed indiretti (locazione, noleggi, al</w:t>
      </w:r>
      <w:r w:rsidR="00747E85">
        <w:rPr>
          <w:rFonts w:cstheme="minorHAnsi"/>
          <w:lang w:val="it-IT"/>
        </w:rPr>
        <w:t>l</w:t>
      </w:r>
      <w:r w:rsidRPr="006A6729">
        <w:rPr>
          <w:rFonts w:cstheme="minorHAnsi"/>
          <w:lang w:val="it-IT"/>
        </w:rPr>
        <w:t xml:space="preserve">acciamenti provvisori utenze). </w:t>
      </w:r>
    </w:p>
    <w:p w14:paraId="6252EE9A" w14:textId="77777777" w:rsidR="0020676E" w:rsidRPr="00F05C81" w:rsidRDefault="0020676E" w:rsidP="0020676E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22987E16" w14:textId="6B883401" w:rsidR="0020676E" w:rsidRPr="00F05C81" w:rsidRDefault="0020676E" w:rsidP="0020676E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5</w:t>
      </w:r>
    </w:p>
    <w:p w14:paraId="167440C9" w14:textId="04FC1B64" w:rsidR="006A6729" w:rsidRDefault="0020676E" w:rsidP="0020676E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domanda se </w:t>
      </w:r>
      <w:r w:rsidRPr="0020676E">
        <w:rPr>
          <w:rFonts w:cstheme="minorHAnsi"/>
          <w:lang w:val="it-IT"/>
        </w:rPr>
        <w:t>sussiste discrasia tra definizione di fabbricato / macchinari nelle polizz</w:t>
      </w:r>
      <w:r>
        <w:rPr>
          <w:rFonts w:cstheme="minorHAnsi"/>
          <w:lang w:val="it-IT"/>
        </w:rPr>
        <w:t>e</w:t>
      </w:r>
      <w:r w:rsidRPr="0020676E">
        <w:rPr>
          <w:rFonts w:cstheme="minorHAnsi"/>
          <w:lang w:val="it-IT"/>
        </w:rPr>
        <w:t xml:space="preserve"> assicurativ</w:t>
      </w:r>
      <w:r>
        <w:rPr>
          <w:rFonts w:cstheme="minorHAnsi"/>
          <w:lang w:val="it-IT"/>
        </w:rPr>
        <w:t>e cd.</w:t>
      </w:r>
      <w:r w:rsidRPr="0020676E">
        <w:rPr>
          <w:rFonts w:cstheme="minorHAnsi"/>
          <w:lang w:val="it-IT"/>
        </w:rPr>
        <w:t xml:space="preserve"> </w:t>
      </w:r>
      <w:r w:rsidRPr="0020676E">
        <w:rPr>
          <w:rFonts w:cstheme="minorHAnsi"/>
          <w:i/>
          <w:iCs/>
          <w:lang w:val="it-IT"/>
        </w:rPr>
        <w:t>property</w:t>
      </w:r>
      <w:r w:rsidRPr="0020676E">
        <w:rPr>
          <w:rFonts w:cstheme="minorHAnsi"/>
          <w:lang w:val="it-IT"/>
        </w:rPr>
        <w:t xml:space="preserve"> e </w:t>
      </w:r>
      <w:r>
        <w:rPr>
          <w:rFonts w:cstheme="minorHAnsi"/>
          <w:lang w:val="it-IT"/>
        </w:rPr>
        <w:t xml:space="preserve">le </w:t>
      </w:r>
      <w:r w:rsidRPr="0020676E">
        <w:rPr>
          <w:rFonts w:cstheme="minorHAnsi"/>
          <w:lang w:val="it-IT"/>
        </w:rPr>
        <w:t>previsioni dell'A</w:t>
      </w:r>
      <w:r>
        <w:rPr>
          <w:rFonts w:cstheme="minorHAnsi"/>
          <w:lang w:val="it-IT"/>
        </w:rPr>
        <w:t>ll</w:t>
      </w:r>
      <w:r w:rsidRPr="0020676E">
        <w:rPr>
          <w:rFonts w:cstheme="minorHAnsi"/>
          <w:lang w:val="it-IT"/>
        </w:rPr>
        <w:t>.</w:t>
      </w:r>
      <w:r>
        <w:rPr>
          <w:rFonts w:cstheme="minorHAnsi"/>
          <w:lang w:val="it-IT"/>
        </w:rPr>
        <w:t xml:space="preserve"> </w:t>
      </w:r>
      <w:r w:rsidRPr="0020676E">
        <w:rPr>
          <w:rFonts w:cstheme="minorHAnsi"/>
          <w:lang w:val="it-IT"/>
        </w:rPr>
        <w:t>3</w:t>
      </w:r>
      <w:r w:rsidR="005B78FC">
        <w:rPr>
          <w:rFonts w:cstheme="minorHAnsi"/>
          <w:lang w:val="it-IT"/>
        </w:rPr>
        <w:t xml:space="preserve"> all’Ord. n. 11/2023. Ciò in quanto nelle polizze </w:t>
      </w:r>
      <w:r w:rsidRPr="0020676E">
        <w:rPr>
          <w:rFonts w:cstheme="minorHAnsi"/>
          <w:lang w:val="it-IT"/>
        </w:rPr>
        <w:t>gli impianti</w:t>
      </w:r>
      <w:r w:rsidR="005B78FC">
        <w:rPr>
          <w:rFonts w:cstheme="minorHAnsi"/>
          <w:lang w:val="it-IT"/>
        </w:rPr>
        <w:t xml:space="preserve"> vengono riportati nella parte dedicata alla </w:t>
      </w:r>
      <w:r w:rsidRPr="0020676E">
        <w:rPr>
          <w:rFonts w:cstheme="minorHAnsi"/>
          <w:lang w:val="it-IT"/>
        </w:rPr>
        <w:t>partita macchinario, nel</w:t>
      </w:r>
      <w:r w:rsidR="005B78FC">
        <w:rPr>
          <w:rFonts w:cstheme="minorHAnsi"/>
          <w:lang w:val="it-IT"/>
        </w:rPr>
        <w:t xml:space="preserve"> citato </w:t>
      </w:r>
      <w:r w:rsidRPr="0020676E">
        <w:rPr>
          <w:rFonts w:cstheme="minorHAnsi"/>
          <w:lang w:val="it-IT"/>
        </w:rPr>
        <w:t>A</w:t>
      </w:r>
      <w:r w:rsidR="005B78FC">
        <w:rPr>
          <w:rFonts w:cstheme="minorHAnsi"/>
          <w:lang w:val="it-IT"/>
        </w:rPr>
        <w:t>ll</w:t>
      </w:r>
      <w:r w:rsidRPr="0020676E">
        <w:rPr>
          <w:rFonts w:cstheme="minorHAnsi"/>
          <w:lang w:val="it-IT"/>
        </w:rPr>
        <w:t>.</w:t>
      </w:r>
      <w:r w:rsidR="005B78FC">
        <w:rPr>
          <w:rFonts w:cstheme="minorHAnsi"/>
          <w:lang w:val="it-IT"/>
        </w:rPr>
        <w:t xml:space="preserve"> </w:t>
      </w:r>
      <w:r w:rsidRPr="0020676E">
        <w:rPr>
          <w:rFonts w:cstheme="minorHAnsi"/>
          <w:lang w:val="it-IT"/>
        </w:rPr>
        <w:t>3</w:t>
      </w:r>
      <w:r w:rsidR="005B78FC">
        <w:rPr>
          <w:rFonts w:cstheme="minorHAnsi"/>
          <w:lang w:val="it-IT"/>
        </w:rPr>
        <w:t>, invece, sono compresi</w:t>
      </w:r>
      <w:r w:rsidRPr="0020676E">
        <w:rPr>
          <w:rFonts w:cstheme="minorHAnsi"/>
          <w:lang w:val="it-IT"/>
        </w:rPr>
        <w:t xml:space="preserve"> nel fabbricato</w:t>
      </w:r>
      <w:r w:rsidR="005B78FC">
        <w:rPr>
          <w:rFonts w:cstheme="minorHAnsi"/>
          <w:lang w:val="it-IT"/>
        </w:rPr>
        <w:t>.</w:t>
      </w:r>
      <w:r w:rsidRPr="0020676E">
        <w:rPr>
          <w:rFonts w:cstheme="minorHAnsi"/>
          <w:lang w:val="it-IT"/>
        </w:rPr>
        <w:t xml:space="preserve"> </w:t>
      </w:r>
      <w:r w:rsidR="005B78FC">
        <w:rPr>
          <w:rFonts w:cstheme="minorHAnsi"/>
          <w:lang w:val="it-IT"/>
        </w:rPr>
        <w:t>C</w:t>
      </w:r>
      <w:r w:rsidRPr="0020676E">
        <w:rPr>
          <w:rFonts w:cstheme="minorHAnsi"/>
          <w:lang w:val="it-IT"/>
        </w:rPr>
        <w:t>ome ci si comporta nella domanda?</w:t>
      </w:r>
    </w:p>
    <w:p w14:paraId="40E061D1" w14:textId="75224A17" w:rsidR="005B78FC" w:rsidRPr="006F2F39" w:rsidRDefault="006F2F39" w:rsidP="0020676E">
      <w:pPr>
        <w:jc w:val="both"/>
        <w:rPr>
          <w:rFonts w:cstheme="minorHAnsi"/>
          <w:i/>
          <w:iCs/>
          <w:lang w:val="it-IT"/>
        </w:rPr>
      </w:pPr>
      <w:r w:rsidRPr="006F2F39">
        <w:rPr>
          <w:rFonts w:cstheme="minorHAnsi"/>
          <w:i/>
          <w:iCs/>
          <w:lang w:val="it-IT"/>
        </w:rPr>
        <w:t xml:space="preserve">SUGGERIMENTO RISPOSTA: </w:t>
      </w:r>
      <w:r>
        <w:rPr>
          <w:rFonts w:cstheme="minorHAnsi"/>
          <w:i/>
          <w:iCs/>
          <w:lang w:val="it-IT"/>
        </w:rPr>
        <w:t>prevale ciò che richiede la domanda di contributo di cui all’Ord. n. 11/2023.</w:t>
      </w:r>
    </w:p>
    <w:p w14:paraId="22A88D2A" w14:textId="77777777" w:rsidR="0020676E" w:rsidRPr="00F05C81" w:rsidRDefault="0020676E" w:rsidP="0020676E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373C5BDA" w14:textId="275B9708" w:rsidR="0020676E" w:rsidRPr="00F05C81" w:rsidRDefault="0020676E" w:rsidP="0020676E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6</w:t>
      </w:r>
    </w:p>
    <w:p w14:paraId="41692DB2" w14:textId="5F0FD2E3" w:rsidR="0020676E" w:rsidRDefault="0020676E" w:rsidP="0020676E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chiede </w:t>
      </w:r>
      <w:r w:rsidR="00C031C6">
        <w:rPr>
          <w:rFonts w:cstheme="minorHAnsi"/>
          <w:lang w:val="it-IT"/>
        </w:rPr>
        <w:t xml:space="preserve">se la </w:t>
      </w:r>
      <w:r w:rsidR="00C031C6" w:rsidRPr="00C031C6">
        <w:rPr>
          <w:rFonts w:cstheme="minorHAnsi"/>
          <w:lang w:val="it-IT"/>
        </w:rPr>
        <w:t>voce n)</w:t>
      </w:r>
      <w:r w:rsidR="00C031C6">
        <w:rPr>
          <w:rFonts w:cstheme="minorHAnsi"/>
          <w:lang w:val="it-IT"/>
        </w:rPr>
        <w:t>, Sezione 4, Parte B,</w:t>
      </w:r>
      <w:r w:rsidR="00C031C6" w:rsidRPr="00C031C6">
        <w:rPr>
          <w:rFonts w:cstheme="minorHAnsi"/>
          <w:lang w:val="it-IT"/>
        </w:rPr>
        <w:t xml:space="preserve"> A</w:t>
      </w:r>
      <w:r w:rsidR="00C031C6">
        <w:rPr>
          <w:rFonts w:cstheme="minorHAnsi"/>
          <w:lang w:val="it-IT"/>
        </w:rPr>
        <w:t>ll</w:t>
      </w:r>
      <w:r w:rsidR="00C031C6" w:rsidRPr="00C031C6">
        <w:rPr>
          <w:rFonts w:cstheme="minorHAnsi"/>
          <w:lang w:val="it-IT"/>
        </w:rPr>
        <w:t>.</w:t>
      </w:r>
      <w:r w:rsidR="00C031C6">
        <w:rPr>
          <w:rFonts w:cstheme="minorHAnsi"/>
          <w:lang w:val="it-IT"/>
        </w:rPr>
        <w:t xml:space="preserve"> </w:t>
      </w:r>
      <w:r w:rsidR="00C031C6" w:rsidRPr="00C031C6">
        <w:rPr>
          <w:rFonts w:cstheme="minorHAnsi"/>
          <w:lang w:val="it-IT"/>
        </w:rPr>
        <w:t>3</w:t>
      </w:r>
      <w:r w:rsidR="00081789">
        <w:rPr>
          <w:rFonts w:cstheme="minorHAnsi"/>
          <w:lang w:val="it-IT"/>
        </w:rPr>
        <w:t xml:space="preserve">, corrispondente alla lett. n), comma 1, art. 3 dell’Ord. n. 11/2023, </w:t>
      </w:r>
      <w:r w:rsidR="00C031C6">
        <w:rPr>
          <w:rFonts w:cstheme="minorHAnsi"/>
          <w:lang w:val="it-IT"/>
        </w:rPr>
        <w:t>si riferisce</w:t>
      </w:r>
      <w:r w:rsidR="00C031C6" w:rsidRPr="00C031C6">
        <w:rPr>
          <w:rFonts w:cstheme="minorHAnsi"/>
          <w:lang w:val="it-IT"/>
        </w:rPr>
        <w:t xml:space="preserve"> solo</w:t>
      </w:r>
      <w:r w:rsidR="00C031C6">
        <w:rPr>
          <w:rFonts w:cstheme="minorHAnsi"/>
          <w:lang w:val="it-IT"/>
        </w:rPr>
        <w:t xml:space="preserve"> ai terreni</w:t>
      </w:r>
      <w:r w:rsidR="00C031C6" w:rsidRPr="00C031C6">
        <w:rPr>
          <w:rFonts w:cstheme="minorHAnsi"/>
          <w:lang w:val="it-IT"/>
        </w:rPr>
        <w:t xml:space="preserve"> agricoli</w:t>
      </w:r>
      <w:r w:rsidR="00C031C6">
        <w:rPr>
          <w:rFonts w:cstheme="minorHAnsi"/>
          <w:lang w:val="it-IT"/>
        </w:rPr>
        <w:t>.</w:t>
      </w:r>
    </w:p>
    <w:p w14:paraId="74490A4E" w14:textId="1887FCC2" w:rsidR="00081789" w:rsidRPr="00081789" w:rsidRDefault="00081789" w:rsidP="00081789">
      <w:pPr>
        <w:jc w:val="both"/>
        <w:rPr>
          <w:rFonts w:cstheme="minorHAnsi"/>
          <w:i/>
          <w:iCs/>
          <w:lang w:val="it-IT"/>
        </w:rPr>
      </w:pPr>
      <w:r w:rsidRPr="00081789">
        <w:rPr>
          <w:rFonts w:cstheme="minorHAnsi"/>
          <w:i/>
          <w:iCs/>
          <w:lang w:val="it-IT"/>
        </w:rPr>
        <w:t xml:space="preserve">SUGGERIMENTO RISPOSTA: no, in quanto laddove il legislatore ha voluto circoscrivere il campo ai soli terreni agricoli lo ha fatto espressamente: “il ripristino dei terreni, danneggiati in relazione al danno effettivamente subito, </w:t>
      </w:r>
      <w:r w:rsidRPr="00081789">
        <w:rPr>
          <w:rFonts w:cstheme="minorHAnsi"/>
          <w:b/>
          <w:bCs/>
          <w:i/>
          <w:iCs/>
          <w:lang w:val="it-IT"/>
        </w:rPr>
        <w:t>inclusa la rimozione di fango e detriti dai terreni agricoli</w:t>
      </w:r>
      <w:r w:rsidRPr="00081789">
        <w:rPr>
          <w:rFonts w:cstheme="minorHAnsi"/>
          <w:i/>
          <w:iCs/>
          <w:lang w:val="it-IT"/>
        </w:rPr>
        <w:t>, nel rispetto delle norme di carattere ambientale” (lett. n), c. 1, art. 3)</w:t>
      </w:r>
      <w:r>
        <w:rPr>
          <w:rFonts w:cstheme="minorHAnsi"/>
          <w:i/>
          <w:iCs/>
          <w:lang w:val="it-IT"/>
        </w:rPr>
        <w:t xml:space="preserve">. </w:t>
      </w:r>
    </w:p>
    <w:p w14:paraId="1AB19EFD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2B2D08DB" w14:textId="3766B4C1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2623D9">
        <w:rPr>
          <w:rFonts w:cstheme="minorHAnsi"/>
          <w:b/>
          <w:bCs/>
          <w:smallCaps/>
          <w:highlight w:val="yellow"/>
          <w:lang w:val="it-IT"/>
        </w:rPr>
        <w:t>Quesito n. 7</w:t>
      </w:r>
    </w:p>
    <w:p w14:paraId="79B99531" w14:textId="6AADC210" w:rsidR="00BF4798" w:rsidRDefault="00BF4798" w:rsidP="00BF4798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</w:t>
      </w:r>
      <w:r w:rsidR="002623D9">
        <w:rPr>
          <w:rFonts w:cstheme="minorHAnsi"/>
          <w:lang w:val="it-IT"/>
        </w:rPr>
        <w:t xml:space="preserve">domanda se la </w:t>
      </w:r>
      <w:r w:rsidR="002623D9" w:rsidRPr="002623D9">
        <w:rPr>
          <w:rFonts w:cstheme="minorHAnsi"/>
          <w:lang w:val="it-IT"/>
        </w:rPr>
        <w:t xml:space="preserve">voce p) </w:t>
      </w:r>
      <w:r w:rsidR="002623D9">
        <w:rPr>
          <w:rFonts w:cstheme="minorHAnsi"/>
          <w:lang w:val="it-IT"/>
        </w:rPr>
        <w:t>Sezione 4, Parte B,</w:t>
      </w:r>
      <w:r w:rsidR="002623D9" w:rsidRPr="00C031C6">
        <w:rPr>
          <w:rFonts w:cstheme="minorHAnsi"/>
          <w:lang w:val="it-IT"/>
        </w:rPr>
        <w:t xml:space="preserve"> A</w:t>
      </w:r>
      <w:r w:rsidR="002623D9">
        <w:rPr>
          <w:rFonts w:cstheme="minorHAnsi"/>
          <w:lang w:val="it-IT"/>
        </w:rPr>
        <w:t>ll</w:t>
      </w:r>
      <w:r w:rsidR="002623D9" w:rsidRPr="00C031C6">
        <w:rPr>
          <w:rFonts w:cstheme="minorHAnsi"/>
          <w:lang w:val="it-IT"/>
        </w:rPr>
        <w:t>.</w:t>
      </w:r>
      <w:r w:rsidR="002623D9">
        <w:rPr>
          <w:rFonts w:cstheme="minorHAnsi"/>
          <w:lang w:val="it-IT"/>
        </w:rPr>
        <w:t xml:space="preserve"> </w:t>
      </w:r>
      <w:r w:rsidR="002623D9" w:rsidRPr="00C031C6">
        <w:rPr>
          <w:rFonts w:cstheme="minorHAnsi"/>
          <w:lang w:val="it-IT"/>
        </w:rPr>
        <w:t>3</w:t>
      </w:r>
      <w:r w:rsidR="002623D9">
        <w:rPr>
          <w:rFonts w:cstheme="minorHAnsi"/>
          <w:lang w:val="it-IT"/>
        </w:rPr>
        <w:t xml:space="preserve">, corrispondente alla lett. p), comma 1, art. 3 dell’Ord. n. 11/2023, laddove cita il </w:t>
      </w:r>
      <w:r w:rsidR="002623D9" w:rsidRPr="002623D9">
        <w:rPr>
          <w:rFonts w:cstheme="minorHAnsi"/>
          <w:lang w:val="it-IT"/>
        </w:rPr>
        <w:t>ripristino</w:t>
      </w:r>
      <w:r w:rsidR="002623D9">
        <w:rPr>
          <w:rFonts w:cstheme="minorHAnsi"/>
          <w:lang w:val="it-IT"/>
        </w:rPr>
        <w:t xml:space="preserve"> delle</w:t>
      </w:r>
      <w:r w:rsidR="002623D9" w:rsidRPr="002623D9">
        <w:rPr>
          <w:rFonts w:cstheme="minorHAnsi"/>
          <w:lang w:val="it-IT"/>
        </w:rPr>
        <w:t xml:space="preserve"> strade aziendali</w:t>
      </w:r>
      <w:r w:rsidR="002623D9">
        <w:rPr>
          <w:rFonts w:cstheme="minorHAnsi"/>
          <w:lang w:val="it-IT"/>
        </w:rPr>
        <w:t>, queste devono intendersi come</w:t>
      </w:r>
      <w:r w:rsidR="002623D9" w:rsidRPr="002623D9">
        <w:rPr>
          <w:rFonts w:cstheme="minorHAnsi"/>
          <w:lang w:val="it-IT"/>
        </w:rPr>
        <w:t xml:space="preserve"> fabbricato</w:t>
      </w:r>
      <w:r w:rsidR="002623D9">
        <w:rPr>
          <w:rFonts w:cstheme="minorHAnsi"/>
          <w:lang w:val="it-IT"/>
        </w:rPr>
        <w:t>.</w:t>
      </w:r>
    </w:p>
    <w:p w14:paraId="21CAF79B" w14:textId="34948691" w:rsidR="000F441F" w:rsidRDefault="000F441F" w:rsidP="00BF4798">
      <w:pPr>
        <w:jc w:val="both"/>
        <w:rPr>
          <w:rFonts w:cstheme="minorHAnsi"/>
          <w:lang w:val="it-IT"/>
        </w:rPr>
      </w:pPr>
      <w:r w:rsidRPr="00081789">
        <w:rPr>
          <w:rFonts w:cstheme="minorHAnsi"/>
          <w:i/>
          <w:iCs/>
          <w:lang w:val="it-IT"/>
        </w:rPr>
        <w:t xml:space="preserve">SUGGERIMENTO RISPOSTA: </w:t>
      </w:r>
      <w:r w:rsidR="00300C0B">
        <w:rPr>
          <w:rFonts w:cstheme="minorHAnsi"/>
          <w:i/>
          <w:iCs/>
          <w:lang w:val="it-IT"/>
        </w:rPr>
        <w:t xml:space="preserve">in generale, </w:t>
      </w:r>
      <w:r w:rsidRPr="00081789">
        <w:rPr>
          <w:rFonts w:cstheme="minorHAnsi"/>
          <w:i/>
          <w:iCs/>
          <w:lang w:val="it-IT"/>
        </w:rPr>
        <w:t>no,</w:t>
      </w:r>
      <w:r>
        <w:rPr>
          <w:rFonts w:cstheme="minorHAnsi"/>
          <w:i/>
          <w:iCs/>
          <w:lang w:val="it-IT"/>
        </w:rPr>
        <w:t xml:space="preserve"> il concetto di strade aziendali non coincide con quello di fabbricato</w:t>
      </w:r>
      <w:r w:rsidR="00B85B00">
        <w:rPr>
          <w:rFonts w:cstheme="minorHAnsi"/>
          <w:i/>
          <w:iCs/>
          <w:lang w:val="it-IT"/>
        </w:rPr>
        <w:t xml:space="preserve">, come emerge dall’utilizzo che il legislatore fa di quest’ultimo termine all’art. 3, c. 1, quale </w:t>
      </w:r>
      <w:r w:rsidR="00B85B00" w:rsidRPr="00B85B00">
        <w:rPr>
          <w:rFonts w:cstheme="minorHAnsi"/>
          <w:b/>
          <w:bCs/>
          <w:i/>
          <w:iCs/>
          <w:lang w:val="it-IT"/>
        </w:rPr>
        <w:t>sinonimo di edificio</w:t>
      </w:r>
      <w:r>
        <w:rPr>
          <w:rFonts w:cstheme="minorHAnsi"/>
          <w:i/>
          <w:iCs/>
          <w:lang w:val="it-IT"/>
        </w:rPr>
        <w:t>.</w:t>
      </w:r>
      <w:r w:rsidR="00300C0B">
        <w:rPr>
          <w:rFonts w:cstheme="minorHAnsi"/>
          <w:i/>
          <w:iCs/>
          <w:lang w:val="it-IT"/>
        </w:rPr>
        <w:t xml:space="preserve"> Ad ogni modo, occorre </w:t>
      </w:r>
      <w:r w:rsidR="00300C0B" w:rsidRPr="002550E0">
        <w:rPr>
          <w:rFonts w:cstheme="minorHAnsi"/>
          <w:b/>
          <w:bCs/>
          <w:i/>
          <w:iCs/>
          <w:lang w:val="it-IT"/>
        </w:rPr>
        <w:t>verificare in concreto</w:t>
      </w:r>
      <w:r w:rsidR="00300C0B">
        <w:rPr>
          <w:rFonts w:cstheme="minorHAnsi"/>
          <w:i/>
          <w:iCs/>
          <w:lang w:val="it-IT"/>
        </w:rPr>
        <w:t xml:space="preserve"> la tipologia di strada cui si fa riferimento per verificare se è da intendersi quale pertinenza del fabbricato oppure no.  </w:t>
      </w:r>
    </w:p>
    <w:p w14:paraId="5F9D7E9F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380F837D" w14:textId="3CC4B56B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8</w:t>
      </w:r>
    </w:p>
    <w:p w14:paraId="1650E2C2" w14:textId="6873A83C" w:rsidR="00900BAF" w:rsidRDefault="00BF4798" w:rsidP="00BF4798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lastRenderedPageBreak/>
        <w:t xml:space="preserve">L’impresa chiede </w:t>
      </w:r>
      <w:r w:rsidR="00900BAF">
        <w:rPr>
          <w:rFonts w:cstheme="minorHAnsi"/>
          <w:lang w:val="it-IT"/>
        </w:rPr>
        <w:t xml:space="preserve">se la </w:t>
      </w:r>
      <w:r w:rsidR="00900BAF" w:rsidRPr="002623D9">
        <w:rPr>
          <w:rFonts w:cstheme="minorHAnsi"/>
          <w:lang w:val="it-IT"/>
        </w:rPr>
        <w:t xml:space="preserve">voce </w:t>
      </w:r>
      <w:r w:rsidR="00900BAF">
        <w:rPr>
          <w:rFonts w:cstheme="minorHAnsi"/>
          <w:lang w:val="it-IT"/>
        </w:rPr>
        <w:t>u</w:t>
      </w:r>
      <w:r w:rsidR="00900BAF" w:rsidRPr="002623D9">
        <w:rPr>
          <w:rFonts w:cstheme="minorHAnsi"/>
          <w:lang w:val="it-IT"/>
        </w:rPr>
        <w:t xml:space="preserve">) </w:t>
      </w:r>
      <w:r w:rsidR="00900BAF">
        <w:rPr>
          <w:rFonts w:cstheme="minorHAnsi"/>
          <w:lang w:val="it-IT"/>
        </w:rPr>
        <w:t>Sezione 4, Parte B,</w:t>
      </w:r>
      <w:r w:rsidR="00900BAF" w:rsidRPr="00C031C6">
        <w:rPr>
          <w:rFonts w:cstheme="minorHAnsi"/>
          <w:lang w:val="it-IT"/>
        </w:rPr>
        <w:t xml:space="preserve"> A</w:t>
      </w:r>
      <w:r w:rsidR="00900BAF">
        <w:rPr>
          <w:rFonts w:cstheme="minorHAnsi"/>
          <w:lang w:val="it-IT"/>
        </w:rPr>
        <w:t>ll</w:t>
      </w:r>
      <w:r w:rsidR="00900BAF" w:rsidRPr="00C031C6">
        <w:rPr>
          <w:rFonts w:cstheme="minorHAnsi"/>
          <w:lang w:val="it-IT"/>
        </w:rPr>
        <w:t>.</w:t>
      </w:r>
      <w:r w:rsidR="00900BAF">
        <w:rPr>
          <w:rFonts w:cstheme="minorHAnsi"/>
          <w:lang w:val="it-IT"/>
        </w:rPr>
        <w:t xml:space="preserve"> </w:t>
      </w:r>
      <w:r w:rsidR="00900BAF" w:rsidRPr="00C031C6">
        <w:rPr>
          <w:rFonts w:cstheme="minorHAnsi"/>
          <w:lang w:val="it-IT"/>
        </w:rPr>
        <w:t>3</w:t>
      </w:r>
      <w:r w:rsidR="00900BAF">
        <w:rPr>
          <w:rFonts w:cstheme="minorHAnsi"/>
          <w:lang w:val="it-IT"/>
        </w:rPr>
        <w:t xml:space="preserve">, corrispondente alla lett. u), comma 1, art. 3 dell’Ord. n. 11/2023, esclude le operazioni di smaltimento e se tutte le attività compresa in quella voce </w:t>
      </w:r>
      <w:r w:rsidR="00900BAF" w:rsidRPr="00900BAF">
        <w:rPr>
          <w:rFonts w:cstheme="minorHAnsi"/>
          <w:lang w:val="it-IT"/>
        </w:rPr>
        <w:t>non si intendono come spese di pulizia fabbricato</w:t>
      </w:r>
      <w:r w:rsidR="00900BAF">
        <w:rPr>
          <w:rFonts w:cstheme="minorHAnsi"/>
          <w:lang w:val="it-IT"/>
        </w:rPr>
        <w:t>.</w:t>
      </w:r>
      <w:r w:rsidR="00900BAF" w:rsidRPr="00900BAF">
        <w:rPr>
          <w:rFonts w:cstheme="minorHAnsi"/>
          <w:lang w:val="it-IT"/>
        </w:rPr>
        <w:t xml:space="preserve"> </w:t>
      </w:r>
    </w:p>
    <w:p w14:paraId="61C6B92E" w14:textId="7F7F87ED" w:rsidR="00900BAF" w:rsidRPr="00900BAF" w:rsidRDefault="00900BAF" w:rsidP="00BF4798">
      <w:pPr>
        <w:jc w:val="both"/>
        <w:rPr>
          <w:rFonts w:cstheme="minorHAnsi"/>
          <w:i/>
          <w:iCs/>
          <w:lang w:val="it-IT"/>
        </w:rPr>
      </w:pPr>
      <w:r w:rsidRPr="00900BAF">
        <w:rPr>
          <w:rFonts w:cstheme="minorHAnsi"/>
          <w:i/>
          <w:iCs/>
          <w:lang w:val="it-IT"/>
        </w:rPr>
        <w:t>SUGGERIMENTO RISPOSTA:</w:t>
      </w:r>
      <w:r w:rsidR="00B85B00">
        <w:rPr>
          <w:rFonts w:cstheme="minorHAnsi"/>
          <w:i/>
          <w:iCs/>
          <w:lang w:val="it-IT"/>
        </w:rPr>
        <w:t xml:space="preserve"> </w:t>
      </w:r>
      <w:r w:rsidRPr="00900BAF">
        <w:rPr>
          <w:rFonts w:cstheme="minorHAnsi"/>
          <w:i/>
          <w:iCs/>
          <w:lang w:val="it-IT"/>
        </w:rPr>
        <w:t xml:space="preserve">si intendono come spese di pulizia del fabbricato perché </w:t>
      </w:r>
      <w:r w:rsidRPr="00B85B00">
        <w:rPr>
          <w:rFonts w:cstheme="minorHAnsi"/>
          <w:b/>
          <w:bCs/>
          <w:i/>
          <w:iCs/>
          <w:lang w:val="it-IT"/>
        </w:rPr>
        <w:t>la disposizione contempla (appunto) “la pulizia</w:t>
      </w:r>
      <w:r w:rsidRPr="00900BAF">
        <w:rPr>
          <w:rFonts w:cstheme="minorHAnsi"/>
          <w:i/>
          <w:iCs/>
          <w:lang w:val="it-IT"/>
        </w:rPr>
        <w:t xml:space="preserve">, rimozione di fango e detriti dal fabbricato e dall’area esterna pertinenziale”. </w:t>
      </w:r>
      <w:r w:rsidR="008C759A">
        <w:rPr>
          <w:rFonts w:cstheme="minorHAnsi"/>
          <w:i/>
          <w:iCs/>
          <w:lang w:val="it-IT"/>
        </w:rPr>
        <w:t>Infine</w:t>
      </w:r>
      <w:r w:rsidRPr="00900BAF">
        <w:rPr>
          <w:rFonts w:cstheme="minorHAnsi"/>
          <w:i/>
          <w:iCs/>
          <w:lang w:val="it-IT"/>
        </w:rPr>
        <w:t>,</w:t>
      </w:r>
      <w:r>
        <w:rPr>
          <w:rFonts w:cstheme="minorHAnsi"/>
          <w:i/>
          <w:iCs/>
          <w:lang w:val="it-IT"/>
        </w:rPr>
        <w:t xml:space="preserve"> </w:t>
      </w:r>
      <w:r w:rsidR="008C759A">
        <w:rPr>
          <w:rFonts w:cstheme="minorHAnsi"/>
          <w:i/>
          <w:iCs/>
          <w:lang w:val="it-IT"/>
        </w:rPr>
        <w:t xml:space="preserve">laddove il legislatore fa riferimento alla </w:t>
      </w:r>
      <w:r w:rsidR="008C759A" w:rsidRPr="008C759A">
        <w:rPr>
          <w:rFonts w:cstheme="minorHAnsi"/>
          <w:b/>
          <w:bCs/>
          <w:i/>
          <w:iCs/>
          <w:lang w:val="it-IT"/>
        </w:rPr>
        <w:t>rimozione</w:t>
      </w:r>
      <w:r w:rsidR="008C759A">
        <w:rPr>
          <w:rFonts w:cstheme="minorHAnsi"/>
          <w:i/>
          <w:iCs/>
          <w:lang w:val="it-IT"/>
        </w:rPr>
        <w:t xml:space="preserve"> del fango, deve intendersi comprese le </w:t>
      </w:r>
      <w:r w:rsidR="008C759A" w:rsidRPr="00995543">
        <w:rPr>
          <w:rFonts w:cstheme="minorHAnsi"/>
          <w:b/>
          <w:bCs/>
          <w:i/>
          <w:iCs/>
          <w:lang w:val="it-IT"/>
        </w:rPr>
        <w:t xml:space="preserve">attività conseguenti di </w:t>
      </w:r>
      <w:r w:rsidRPr="00995543">
        <w:rPr>
          <w:rFonts w:cstheme="minorHAnsi"/>
          <w:b/>
          <w:bCs/>
          <w:i/>
          <w:iCs/>
          <w:lang w:val="it-IT"/>
        </w:rPr>
        <w:t>smaltimento</w:t>
      </w:r>
      <w:r w:rsidRPr="00B85B00">
        <w:rPr>
          <w:rFonts w:cstheme="minorHAnsi"/>
          <w:b/>
          <w:bCs/>
          <w:i/>
          <w:iCs/>
          <w:lang w:val="it-IT"/>
        </w:rPr>
        <w:t xml:space="preserve"> </w:t>
      </w:r>
      <w:r w:rsidR="008C759A">
        <w:rPr>
          <w:rFonts w:cstheme="minorHAnsi"/>
          <w:b/>
          <w:bCs/>
          <w:i/>
          <w:iCs/>
          <w:lang w:val="it-IT"/>
        </w:rPr>
        <w:t>del medesimo fango</w:t>
      </w:r>
      <w:r w:rsidRPr="00900BAF">
        <w:rPr>
          <w:rFonts w:cstheme="minorHAnsi"/>
          <w:i/>
          <w:iCs/>
          <w:lang w:val="it-IT"/>
        </w:rPr>
        <w:t>.</w:t>
      </w:r>
      <w:r w:rsidR="008C759A">
        <w:rPr>
          <w:rFonts w:cstheme="minorHAnsi"/>
          <w:i/>
          <w:iCs/>
          <w:lang w:val="it-IT"/>
        </w:rPr>
        <w:t xml:space="preserve"> Ciò che dal tenore letterale pare esclusa,</w:t>
      </w:r>
      <w:r w:rsidR="005C76F7">
        <w:rPr>
          <w:rFonts w:cstheme="minorHAnsi"/>
          <w:i/>
          <w:iCs/>
          <w:lang w:val="it-IT"/>
        </w:rPr>
        <w:t xml:space="preserve"> invece,</w:t>
      </w:r>
      <w:r w:rsidR="008C759A">
        <w:rPr>
          <w:rFonts w:cstheme="minorHAnsi"/>
          <w:i/>
          <w:iCs/>
          <w:lang w:val="it-IT"/>
        </w:rPr>
        <w:t xml:space="preserve"> è la voce di spesa separata </w:t>
      </w:r>
      <w:r w:rsidR="005C76F7">
        <w:rPr>
          <w:rFonts w:cstheme="minorHAnsi"/>
          <w:i/>
          <w:iCs/>
          <w:lang w:val="it-IT"/>
        </w:rPr>
        <w:t>relativa al solo</w:t>
      </w:r>
      <w:r w:rsidR="008C759A">
        <w:rPr>
          <w:rFonts w:cstheme="minorHAnsi"/>
          <w:i/>
          <w:iCs/>
          <w:lang w:val="it-IT"/>
        </w:rPr>
        <w:t xml:space="preserve"> smaltimento del fango.</w:t>
      </w:r>
    </w:p>
    <w:p w14:paraId="5684B39C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3BEB3898" w14:textId="35AA984E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9</w:t>
      </w:r>
    </w:p>
    <w:p w14:paraId="344A178F" w14:textId="77777777" w:rsidR="00287F8C" w:rsidRDefault="00BF4798" w:rsidP="00900BAF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chiede </w:t>
      </w:r>
    </w:p>
    <w:p w14:paraId="2A9DF01C" w14:textId="3B2FDDFB" w:rsidR="00287F8C" w:rsidRDefault="00BF4798" w:rsidP="00287F8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287F8C">
        <w:rPr>
          <w:rFonts w:cstheme="minorHAnsi"/>
        </w:rPr>
        <w:t>precisazioni in merito</w:t>
      </w:r>
      <w:r w:rsidR="00C31087" w:rsidRPr="00287F8C">
        <w:rPr>
          <w:rFonts w:cstheme="minorHAnsi"/>
        </w:rPr>
        <w:t xml:space="preserve"> alle conseguenze del mancato rispetto della clausola di tracciabilità e del riferimento al CCN</w:t>
      </w:r>
      <w:r w:rsidR="006F7998">
        <w:rPr>
          <w:rFonts w:cstheme="minorHAnsi"/>
        </w:rPr>
        <w:t>L</w:t>
      </w:r>
      <w:r w:rsidR="00C31087" w:rsidRPr="00287F8C">
        <w:rPr>
          <w:rFonts w:cstheme="minorHAnsi"/>
        </w:rPr>
        <w:t xml:space="preserve"> nei contratti e nelle fatture emesse successivamente l’entrata in vigore dell’Ord. n. 11/2023. </w:t>
      </w:r>
    </w:p>
    <w:p w14:paraId="73686167" w14:textId="4D150A10" w:rsidR="00287F8C" w:rsidRDefault="00287F8C" w:rsidP="00DD77D3">
      <w:pPr>
        <w:pStyle w:val="Paragrafoelenco"/>
        <w:numPr>
          <w:ilvl w:val="1"/>
          <w:numId w:val="11"/>
        </w:numPr>
        <w:jc w:val="both"/>
        <w:rPr>
          <w:rFonts w:cstheme="minorHAnsi"/>
          <w:i/>
          <w:iCs/>
        </w:rPr>
      </w:pPr>
      <w:r w:rsidRPr="006F7998">
        <w:rPr>
          <w:rFonts w:cstheme="minorHAnsi"/>
          <w:i/>
          <w:iCs/>
        </w:rPr>
        <w:t xml:space="preserve">SUGGERIMENTO DI RISPOSTA: </w:t>
      </w:r>
      <w:r w:rsidR="006F7998" w:rsidRPr="006F7998">
        <w:rPr>
          <w:rFonts w:cstheme="minorHAnsi"/>
          <w:i/>
          <w:iCs/>
        </w:rPr>
        <w:t xml:space="preserve">art. 6, c. 3: “[…] L’eventuale inadempimento dell’obbligo di tracciamento finanziario determina la </w:t>
      </w:r>
      <w:r w:rsidR="006F7998" w:rsidRPr="00EC7A49">
        <w:rPr>
          <w:rFonts w:cstheme="minorHAnsi"/>
          <w:b/>
          <w:bCs/>
          <w:i/>
          <w:iCs/>
        </w:rPr>
        <w:t>perdita totale</w:t>
      </w:r>
      <w:r w:rsidR="006F7998" w:rsidRPr="006F7998">
        <w:rPr>
          <w:rFonts w:cstheme="minorHAnsi"/>
          <w:i/>
          <w:iCs/>
        </w:rPr>
        <w:t xml:space="preserve"> del contributo erogato”</w:t>
      </w:r>
      <w:r w:rsidR="006F7998">
        <w:rPr>
          <w:rFonts w:cstheme="minorHAnsi"/>
          <w:i/>
          <w:iCs/>
        </w:rPr>
        <w:t>.</w:t>
      </w:r>
    </w:p>
    <w:p w14:paraId="2B23BF5B" w14:textId="7565077C" w:rsidR="006F7998" w:rsidRPr="00EC7A49" w:rsidRDefault="006F7998" w:rsidP="00BA54E2">
      <w:pPr>
        <w:pStyle w:val="Paragrafoelenco"/>
        <w:numPr>
          <w:ilvl w:val="1"/>
          <w:numId w:val="11"/>
        </w:numPr>
        <w:jc w:val="both"/>
        <w:rPr>
          <w:rFonts w:cstheme="minorHAnsi"/>
          <w:i/>
          <w:iCs/>
        </w:rPr>
      </w:pPr>
      <w:r w:rsidRPr="00EC7A49">
        <w:rPr>
          <w:rFonts w:cstheme="minorHAnsi"/>
          <w:i/>
          <w:iCs/>
        </w:rPr>
        <w:t xml:space="preserve">SUGGERIMENTO RISPOSTA: </w:t>
      </w:r>
      <w:r w:rsidR="00EC7A49">
        <w:rPr>
          <w:rFonts w:cstheme="minorHAnsi"/>
          <w:i/>
          <w:iCs/>
        </w:rPr>
        <w:t>a</w:t>
      </w:r>
      <w:r w:rsidR="00EC7A49" w:rsidRPr="00EC7A49">
        <w:rPr>
          <w:rFonts w:cstheme="minorHAnsi"/>
          <w:i/>
          <w:iCs/>
        </w:rPr>
        <w:t xml:space="preserve">rt. 14, c. 3 “Qualora dalle predette verifiche emerga che i contributi sono stati concessi in carenza dei necessari presupposti, il Commissario straordinario dispone </w:t>
      </w:r>
      <w:r w:rsidR="00EC7A49" w:rsidRPr="00EC7A49">
        <w:rPr>
          <w:rFonts w:cstheme="minorHAnsi"/>
          <w:b/>
          <w:bCs/>
          <w:i/>
          <w:iCs/>
        </w:rPr>
        <w:t>l’annullamento o la revoca, anche parziale, del decreto di concessione dei contributi e provvede a richiedere la restituzione</w:t>
      </w:r>
      <w:r w:rsidR="00EC7A49" w:rsidRPr="00EC7A49">
        <w:rPr>
          <w:rFonts w:cstheme="minorHAnsi"/>
          <w:i/>
          <w:iCs/>
        </w:rPr>
        <w:t xml:space="preserve"> delle</w:t>
      </w:r>
      <w:r w:rsidR="00EC7A49">
        <w:rPr>
          <w:rFonts w:cstheme="minorHAnsi"/>
          <w:i/>
          <w:iCs/>
        </w:rPr>
        <w:t xml:space="preserve"> </w:t>
      </w:r>
      <w:r w:rsidR="00EC7A49" w:rsidRPr="00EC7A49">
        <w:rPr>
          <w:rFonts w:cstheme="minorHAnsi"/>
          <w:i/>
          <w:iCs/>
        </w:rPr>
        <w:t>eventuali somme indebitamente percepite.”</w:t>
      </w:r>
    </w:p>
    <w:p w14:paraId="146C7C7A" w14:textId="77777777" w:rsidR="00287F8C" w:rsidRDefault="00C31087" w:rsidP="00287F8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287F8C">
        <w:rPr>
          <w:rFonts w:cstheme="minorHAnsi"/>
        </w:rPr>
        <w:t>Inoltre, domanda se si possibile sanare e in che modo tale adempimento.</w:t>
      </w:r>
      <w:r w:rsidR="00BF4798" w:rsidRPr="00287F8C">
        <w:rPr>
          <w:rFonts w:cstheme="minorHAnsi"/>
        </w:rPr>
        <w:t xml:space="preserve"> </w:t>
      </w:r>
    </w:p>
    <w:p w14:paraId="66414D12" w14:textId="77777777" w:rsidR="00A75739" w:rsidRDefault="009C2E11" w:rsidP="00096A55">
      <w:pPr>
        <w:pStyle w:val="Paragrafoelenco"/>
        <w:numPr>
          <w:ilvl w:val="1"/>
          <w:numId w:val="11"/>
        </w:numPr>
        <w:jc w:val="both"/>
        <w:rPr>
          <w:rFonts w:cstheme="minorHAnsi"/>
          <w:i/>
          <w:iCs/>
        </w:rPr>
      </w:pPr>
      <w:r w:rsidRPr="00A75739">
        <w:rPr>
          <w:rFonts w:cstheme="minorHAnsi"/>
          <w:i/>
          <w:iCs/>
        </w:rPr>
        <w:t xml:space="preserve">SUGGERIMENTO RISPOSTA: </w:t>
      </w:r>
      <w:r w:rsidR="00A75739" w:rsidRPr="00A75739">
        <w:rPr>
          <w:rFonts w:cstheme="minorHAnsi"/>
          <w:i/>
          <w:iCs/>
        </w:rPr>
        <w:t xml:space="preserve">art. 11, c. 5: “In caso di esigenze di approfondimento istruttorio, il suddetto termine di 30 (trenta) giorni è interrotto e il comune, ovvero la predetta struttura di supporto convenzionata, provvede a comunicare al soggetto interessato, dando un tempo di 30 (trenta) giorni per il riscontro, i vizi, le difformità o le esigenze di integrazioni documentali necessarie per consentire la finalizzazione dell’istruttoria”. </w:t>
      </w:r>
    </w:p>
    <w:p w14:paraId="7CD16E02" w14:textId="472B6151" w:rsidR="009C2E11" w:rsidRPr="00A75739" w:rsidRDefault="00A75739" w:rsidP="00A75739">
      <w:pPr>
        <w:pStyle w:val="Paragrafoelenco"/>
        <w:ind w:left="144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A</w:t>
      </w:r>
      <w:r w:rsidRPr="00A75739">
        <w:rPr>
          <w:rFonts w:cstheme="minorHAnsi"/>
          <w:i/>
          <w:iCs/>
        </w:rPr>
        <w:t xml:space="preserve">rt. 5, c. 7: “È ammessa la presentazione di una sola istanza di riconoscimento dei contributi. </w:t>
      </w:r>
      <w:r w:rsidRPr="00A75739">
        <w:rPr>
          <w:rFonts w:cstheme="minorHAnsi"/>
          <w:b/>
          <w:bCs/>
          <w:i/>
          <w:iCs/>
        </w:rPr>
        <w:t>L’istanza può essere presentata nuovamente una sola volta</w:t>
      </w:r>
      <w:r w:rsidRPr="00A75739">
        <w:rPr>
          <w:rFonts w:cstheme="minorHAnsi"/>
          <w:i/>
          <w:iCs/>
        </w:rPr>
        <w:t xml:space="preserve"> in caso di rigetto per incompletezza documentale entro 30 (trenta) giorni dal rigetto.”.</w:t>
      </w:r>
    </w:p>
    <w:p w14:paraId="351CDB20" w14:textId="77777777" w:rsidR="00287F8C" w:rsidRDefault="00C31087" w:rsidP="00287F8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287F8C">
        <w:rPr>
          <w:rFonts w:cstheme="minorHAnsi"/>
        </w:rPr>
        <w:t xml:space="preserve">Da ultimo, chiede il significato di “clausola di tracciabilità accettata” di cui all’art. 6, c. 3, Ord. n. 11/2023, </w:t>
      </w:r>
    </w:p>
    <w:p w14:paraId="728AA0A8" w14:textId="0A9F5CE8" w:rsidR="006F7998" w:rsidRPr="006F7998" w:rsidRDefault="006F7998" w:rsidP="006F7998">
      <w:pPr>
        <w:pStyle w:val="Paragrafoelenco"/>
        <w:numPr>
          <w:ilvl w:val="1"/>
          <w:numId w:val="11"/>
        </w:numPr>
        <w:jc w:val="both"/>
        <w:rPr>
          <w:rFonts w:cstheme="minorHAnsi"/>
          <w:i/>
          <w:iCs/>
        </w:rPr>
      </w:pPr>
      <w:r w:rsidRPr="006F7998">
        <w:rPr>
          <w:rFonts w:cstheme="minorHAnsi"/>
          <w:i/>
          <w:iCs/>
        </w:rPr>
        <w:t xml:space="preserve">SUGGERIMENTO RISPOSTA: l’art. 6, c. 3, Ord. n. 11/2023 rimanda, in riferimento all’accettazione della clausola, all’art. 1341, c. 2, cc, a tenore del quale “In ogni caso non hanno effetto, se non sono </w:t>
      </w:r>
      <w:r w:rsidRPr="00BB206F">
        <w:rPr>
          <w:rFonts w:cstheme="minorHAnsi"/>
          <w:b/>
          <w:bCs/>
          <w:i/>
          <w:iCs/>
        </w:rPr>
        <w:t>specificamente approvate per iscritto</w:t>
      </w:r>
      <w:r w:rsidRPr="006F7998">
        <w:rPr>
          <w:rFonts w:cstheme="minorHAnsi"/>
          <w:i/>
          <w:iCs/>
        </w:rPr>
        <w:t xml:space="preserve"> […]”</w:t>
      </w:r>
      <w:r>
        <w:rPr>
          <w:rFonts w:cstheme="minorHAnsi"/>
          <w:i/>
          <w:iCs/>
        </w:rPr>
        <w:t xml:space="preserve">. </w:t>
      </w:r>
    </w:p>
    <w:p w14:paraId="00E680A7" w14:textId="3C419283" w:rsidR="00C31087" w:rsidRDefault="00C31087" w:rsidP="00287F8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EC7A49">
        <w:rPr>
          <w:rFonts w:cstheme="minorHAnsi"/>
        </w:rPr>
        <w:t>nonché quale dicitura utilizzare per la tracciabilità e il CCN</w:t>
      </w:r>
      <w:r w:rsidR="006F7998" w:rsidRPr="00EC7A49">
        <w:rPr>
          <w:rFonts w:cstheme="minorHAnsi"/>
        </w:rPr>
        <w:t>L</w:t>
      </w:r>
      <w:r w:rsidRPr="00EC7A49">
        <w:rPr>
          <w:rFonts w:cstheme="minorHAnsi"/>
        </w:rPr>
        <w:t>.</w:t>
      </w:r>
    </w:p>
    <w:p w14:paraId="1F4DDE78" w14:textId="4BA71EFF" w:rsidR="00EC7A49" w:rsidRPr="00EC7A49" w:rsidRDefault="00EC7A49" w:rsidP="00EC7A49">
      <w:pPr>
        <w:pStyle w:val="Paragrafoelenco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SUGGERIMENTO RISPOSTA: </w:t>
      </w:r>
      <w:r w:rsidRPr="00EC7A49">
        <w:rPr>
          <w:rFonts w:cstheme="minorHAnsi"/>
          <w:i/>
          <w:iCs/>
        </w:rPr>
        <w:t xml:space="preserve">art. 6, c. 4 “I contratti stipulati tra l’impresa committente e l’impresa esecutrice devono altresì contenere </w:t>
      </w:r>
      <w:r w:rsidRPr="00BB206F">
        <w:rPr>
          <w:rFonts w:cstheme="minorHAnsi"/>
          <w:b/>
          <w:bCs/>
          <w:i/>
          <w:iCs/>
        </w:rPr>
        <w:t>specifica previsione</w:t>
      </w:r>
      <w:r w:rsidRPr="00EC7A49">
        <w:rPr>
          <w:rFonts w:cstheme="minorHAnsi"/>
          <w:i/>
          <w:iCs/>
        </w:rPr>
        <w:t xml:space="preserve"> relativa al rispetto dei contratti collettivi nazionali di settore e/o di categoria […]”.</w:t>
      </w:r>
    </w:p>
    <w:p w14:paraId="6CA1ADDE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11980D12" w14:textId="0057414D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10</w:t>
      </w:r>
    </w:p>
    <w:p w14:paraId="113A22EA" w14:textId="74538283" w:rsidR="00BF4798" w:rsidRDefault="00BF4798" w:rsidP="00BF4798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chiede </w:t>
      </w:r>
      <w:r w:rsidR="00EE1F36">
        <w:rPr>
          <w:rFonts w:cstheme="minorHAnsi"/>
          <w:lang w:val="it-IT"/>
        </w:rPr>
        <w:t xml:space="preserve">se l’iscrizione alle </w:t>
      </w:r>
      <w:r w:rsidR="00EE1F36" w:rsidRPr="002E117D">
        <w:rPr>
          <w:rFonts w:cstheme="minorHAnsi"/>
          <w:i/>
          <w:iCs/>
          <w:lang w:val="it-IT"/>
        </w:rPr>
        <w:t>white list</w:t>
      </w:r>
      <w:r w:rsidR="00EE1F36">
        <w:rPr>
          <w:rFonts w:cstheme="minorHAnsi"/>
          <w:lang w:val="it-IT"/>
        </w:rPr>
        <w:t xml:space="preserve"> dei fornitori deve essere comunicata.</w:t>
      </w:r>
    </w:p>
    <w:p w14:paraId="44DC1615" w14:textId="2C176A67" w:rsidR="00EE1F36" w:rsidRPr="00EE1F36" w:rsidRDefault="00EE1F36" w:rsidP="00EE1F36">
      <w:pPr>
        <w:jc w:val="both"/>
        <w:rPr>
          <w:rFonts w:cstheme="minorHAnsi"/>
          <w:i/>
          <w:iCs/>
          <w:lang w:val="it-IT"/>
        </w:rPr>
      </w:pPr>
      <w:r w:rsidRPr="00EE1F36">
        <w:rPr>
          <w:rFonts w:cstheme="minorHAnsi"/>
          <w:i/>
          <w:iCs/>
          <w:lang w:val="it-IT"/>
        </w:rPr>
        <w:lastRenderedPageBreak/>
        <w:t xml:space="preserve">SUGGERIMENTO RISPOSTA: </w:t>
      </w:r>
      <w:r w:rsidR="00AA644C">
        <w:rPr>
          <w:rFonts w:cstheme="minorHAnsi"/>
          <w:i/>
          <w:iCs/>
          <w:lang w:val="it-IT"/>
        </w:rPr>
        <w:t>A</w:t>
      </w:r>
      <w:r w:rsidRPr="00EE1F36">
        <w:rPr>
          <w:rFonts w:cstheme="minorHAnsi"/>
          <w:i/>
          <w:iCs/>
          <w:lang w:val="it-IT"/>
        </w:rPr>
        <w:t xml:space="preserve">rt. 6, c. 4: “L’impresa committente </w:t>
      </w:r>
      <w:r w:rsidRPr="00EE1F36">
        <w:rPr>
          <w:rFonts w:cstheme="minorHAnsi"/>
          <w:b/>
          <w:bCs/>
          <w:i/>
          <w:iCs/>
          <w:lang w:val="it-IT"/>
        </w:rPr>
        <w:t>accerterà</w:t>
      </w:r>
      <w:r w:rsidRPr="00EE1F36">
        <w:rPr>
          <w:rFonts w:cstheme="minorHAnsi"/>
          <w:i/>
          <w:iCs/>
          <w:lang w:val="it-IT"/>
        </w:rPr>
        <w:t xml:space="preserve"> che l’impresa che eseguirà gli interventi di ricostruzione, di riparazione o di ripristino sia inserita nelle white list se e in quanto esistenti delle prefetture territorialmente competenti”</w:t>
      </w:r>
      <w:r>
        <w:rPr>
          <w:rFonts w:cstheme="minorHAnsi"/>
          <w:i/>
          <w:iCs/>
          <w:lang w:val="it-IT"/>
        </w:rPr>
        <w:t>.</w:t>
      </w:r>
      <w:r w:rsidR="00AA644C">
        <w:rPr>
          <w:rFonts w:cstheme="minorHAnsi"/>
          <w:i/>
          <w:iCs/>
          <w:lang w:val="it-IT"/>
        </w:rPr>
        <w:t xml:space="preserve"> </w:t>
      </w:r>
      <w:r w:rsidR="00DE3231">
        <w:rPr>
          <w:rFonts w:cstheme="minorHAnsi"/>
          <w:i/>
          <w:iCs/>
          <w:lang w:val="it-IT"/>
        </w:rPr>
        <w:t>Q</w:t>
      </w:r>
      <w:r w:rsidR="00AA644C">
        <w:rPr>
          <w:rFonts w:cstheme="minorHAnsi"/>
          <w:i/>
          <w:iCs/>
          <w:lang w:val="it-IT"/>
        </w:rPr>
        <w:t>uindi, no, non sono previste comunicazioni. È onere dell’impresa committente verificare la sussistenza di tale requisito.</w:t>
      </w:r>
    </w:p>
    <w:p w14:paraId="2E70DC06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3AB59CBC" w14:textId="16170A44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11</w:t>
      </w:r>
    </w:p>
    <w:p w14:paraId="7ED6957E" w14:textId="77777777" w:rsidR="002E117D" w:rsidRDefault="002E117D" w:rsidP="002E117D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Rispetto alla percezione di altri contributi in favore dell’azienda danneggiata, quest’ultima domanda </w:t>
      </w:r>
    </w:p>
    <w:p w14:paraId="0F717896" w14:textId="31BCB7FA" w:rsidR="002E117D" w:rsidRDefault="002E117D" w:rsidP="002E117D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Conferma che tale contributo precedente deve essere comunicata in domanda</w:t>
      </w:r>
    </w:p>
    <w:p w14:paraId="6885DB99" w14:textId="6D45E1D8" w:rsidR="00DC52A8" w:rsidRPr="006E7821" w:rsidRDefault="00DC52A8" w:rsidP="00391C19">
      <w:pPr>
        <w:pStyle w:val="Paragrafoelenco"/>
        <w:numPr>
          <w:ilvl w:val="1"/>
          <w:numId w:val="12"/>
        </w:numPr>
        <w:jc w:val="both"/>
        <w:rPr>
          <w:rFonts w:cstheme="minorHAnsi"/>
          <w:i/>
          <w:iCs/>
        </w:rPr>
      </w:pPr>
      <w:r w:rsidRPr="006E7821">
        <w:rPr>
          <w:rFonts w:cstheme="minorHAnsi"/>
          <w:i/>
          <w:iCs/>
        </w:rPr>
        <w:t xml:space="preserve">SUGGERIMENTO RISPOSTA: sì, ai sensi dell’art. 8, c. 2, Ord. n. 11/2023 “Il richiedente il contributo dovrà produrre al comune </w:t>
      </w:r>
      <w:r w:rsidRPr="00B85B00">
        <w:rPr>
          <w:rFonts w:cstheme="minorHAnsi"/>
          <w:b/>
          <w:bCs/>
          <w:i/>
          <w:iCs/>
        </w:rPr>
        <w:t>copia della documentazione</w:t>
      </w:r>
      <w:r w:rsidRPr="006E7821">
        <w:rPr>
          <w:rFonts w:cstheme="minorHAnsi"/>
          <w:i/>
          <w:iCs/>
        </w:rPr>
        <w:t xml:space="preserve"> attestante l’indennizzo o il contributo deliberato e non ancora percepito o della quietanza liberatoria relativa all’indennizzo assicurativo già percepito </w:t>
      </w:r>
      <w:r w:rsidRPr="00B85B00">
        <w:rPr>
          <w:rFonts w:cstheme="minorHAnsi"/>
          <w:b/>
          <w:bCs/>
          <w:i/>
          <w:iCs/>
        </w:rPr>
        <w:t>unitamente alla perizia</w:t>
      </w:r>
      <w:r w:rsidRPr="006E7821">
        <w:rPr>
          <w:rFonts w:cstheme="minorHAnsi"/>
          <w:i/>
          <w:iCs/>
        </w:rPr>
        <w:t xml:space="preserve"> redatta dalla compagnia di assicurazioni e/o idonea documentazione attestante l’importo e il titolo in base al quale è stato già corrisposto il contributo da parte di altro ente pubblico”.</w:t>
      </w:r>
      <w:r w:rsidR="006E7821" w:rsidRPr="006E7821">
        <w:rPr>
          <w:rFonts w:cstheme="minorHAnsi"/>
          <w:i/>
          <w:iCs/>
        </w:rPr>
        <w:t xml:space="preserve"> Art. 8, c. 7: “Il mancato rispetto di quanto previsto al presente articolo comporta la decadenza dal contributo”.</w:t>
      </w:r>
    </w:p>
    <w:p w14:paraId="15A51DC7" w14:textId="53CC3779" w:rsidR="002E117D" w:rsidRDefault="002E117D" w:rsidP="007D32AE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6E7821">
        <w:rPr>
          <w:rFonts w:cstheme="minorHAnsi"/>
        </w:rPr>
        <w:t>In che modo e chi è possibile fare tale comunicazione (SFINGE consente il caricamento di tali documenti?), qualora fondi già ricevuti</w:t>
      </w:r>
      <w:r w:rsidR="006E7821">
        <w:rPr>
          <w:rFonts w:cstheme="minorHAnsi"/>
        </w:rPr>
        <w:t xml:space="preserve"> e</w:t>
      </w:r>
      <w:r w:rsidRPr="006E7821">
        <w:rPr>
          <w:rFonts w:cstheme="minorHAnsi"/>
        </w:rPr>
        <w:t xml:space="preserve"> nel caso in cui non siano stati ancora deliberati</w:t>
      </w:r>
    </w:p>
    <w:p w14:paraId="2925831D" w14:textId="4ECCF249" w:rsidR="006E7821" w:rsidRPr="006E7821" w:rsidRDefault="006E7821" w:rsidP="008D21BA">
      <w:pPr>
        <w:pStyle w:val="Paragrafoelenco"/>
        <w:numPr>
          <w:ilvl w:val="1"/>
          <w:numId w:val="12"/>
        </w:numPr>
        <w:jc w:val="both"/>
        <w:rPr>
          <w:rFonts w:cstheme="minorHAnsi"/>
          <w:i/>
          <w:iCs/>
        </w:rPr>
      </w:pPr>
      <w:r w:rsidRPr="006E7821">
        <w:rPr>
          <w:rFonts w:cstheme="minorHAnsi"/>
          <w:i/>
          <w:iCs/>
        </w:rPr>
        <w:t xml:space="preserve">SUGGERIMENTO RISPOSTA: art. 8, c. 2, 3 e 4: “2. Il richiedente il contributo dovrà </w:t>
      </w:r>
      <w:r w:rsidRPr="006E7821">
        <w:rPr>
          <w:rFonts w:cstheme="minorHAnsi"/>
          <w:b/>
          <w:bCs/>
          <w:i/>
          <w:iCs/>
        </w:rPr>
        <w:t>produrre al comune copia della documentazione attestante</w:t>
      </w:r>
      <w:r w:rsidRPr="006E7821">
        <w:rPr>
          <w:rFonts w:cstheme="minorHAnsi"/>
          <w:i/>
          <w:iCs/>
        </w:rPr>
        <w:t xml:space="preserve"> l’indennizzo o il contributo deliberato e non ancora percepito </w:t>
      </w:r>
      <w:r w:rsidRPr="006E7821">
        <w:rPr>
          <w:rFonts w:cstheme="minorHAnsi"/>
          <w:b/>
          <w:bCs/>
          <w:i/>
          <w:iCs/>
        </w:rPr>
        <w:t>o della quietanza liberatoria</w:t>
      </w:r>
      <w:r w:rsidRPr="006E7821">
        <w:rPr>
          <w:rFonts w:cstheme="minorHAnsi"/>
          <w:i/>
          <w:iCs/>
        </w:rPr>
        <w:t xml:space="preserve"> relativa all’indennizzo assicurativo già percepito </w:t>
      </w:r>
      <w:r w:rsidRPr="006E7821">
        <w:rPr>
          <w:rFonts w:cstheme="minorHAnsi"/>
          <w:b/>
          <w:bCs/>
          <w:i/>
          <w:iCs/>
        </w:rPr>
        <w:t>unitamente alla perizia</w:t>
      </w:r>
      <w:r w:rsidRPr="006E7821">
        <w:rPr>
          <w:rFonts w:cstheme="minorHAnsi"/>
          <w:i/>
          <w:iCs/>
        </w:rPr>
        <w:t xml:space="preserve"> redatta dalla compagnia di assicurazioni </w:t>
      </w:r>
      <w:r w:rsidRPr="006E7821">
        <w:rPr>
          <w:rFonts w:cstheme="minorHAnsi"/>
          <w:b/>
          <w:bCs/>
          <w:i/>
          <w:iCs/>
        </w:rPr>
        <w:t xml:space="preserve">e/o idonea documentazione attestante l’importo e il titolo </w:t>
      </w:r>
      <w:r w:rsidRPr="006E7821">
        <w:rPr>
          <w:rFonts w:cstheme="minorHAnsi"/>
          <w:i/>
          <w:iCs/>
        </w:rPr>
        <w:t xml:space="preserve">in base al quale è stato già corrisposto il contributo da parte di altro ente pubblico. </w:t>
      </w:r>
    </w:p>
    <w:p w14:paraId="645FEB26" w14:textId="77777777" w:rsidR="006E7821" w:rsidRPr="006E7821" w:rsidRDefault="006E7821" w:rsidP="006E7821">
      <w:pPr>
        <w:pStyle w:val="Paragrafoelenco"/>
        <w:ind w:left="1440"/>
        <w:jc w:val="both"/>
        <w:rPr>
          <w:rFonts w:cstheme="minorHAnsi"/>
          <w:i/>
          <w:iCs/>
        </w:rPr>
      </w:pPr>
      <w:r w:rsidRPr="006E7821">
        <w:rPr>
          <w:rFonts w:cstheme="minorHAnsi"/>
          <w:i/>
          <w:iCs/>
        </w:rPr>
        <w:t xml:space="preserve">3. La documentazione di cui al comma 2 per indennizzi/contributi percepiti successivamente alla presentazione della perizia (non allegata a quest’ultima), </w:t>
      </w:r>
      <w:r w:rsidRPr="006E7821">
        <w:rPr>
          <w:rFonts w:cstheme="minorHAnsi"/>
          <w:b/>
          <w:bCs/>
          <w:i/>
          <w:iCs/>
        </w:rPr>
        <w:t>dovrà essere prodotta senza alcun ritardo al comune dopo la relativa erogazione</w:t>
      </w:r>
      <w:r w:rsidRPr="006E7821">
        <w:rPr>
          <w:rFonts w:cstheme="minorHAnsi"/>
          <w:i/>
          <w:iCs/>
        </w:rPr>
        <w:t xml:space="preserve"> (di indennizzi o contributi) e, se non prodotta, non si potrà procedere alla liquidazione del contributo eventualmente riconosciuto ai sensi di quanto disposto dalla presente ordinanza. </w:t>
      </w:r>
    </w:p>
    <w:p w14:paraId="26F4498B" w14:textId="31715894" w:rsidR="006E7821" w:rsidRPr="006E7821" w:rsidRDefault="006E7821" w:rsidP="006E7821">
      <w:pPr>
        <w:pStyle w:val="Paragrafoelenco"/>
        <w:ind w:left="1440"/>
        <w:jc w:val="both"/>
        <w:rPr>
          <w:rFonts w:cstheme="minorHAnsi"/>
          <w:i/>
          <w:iCs/>
        </w:rPr>
      </w:pPr>
      <w:r w:rsidRPr="006E7821">
        <w:rPr>
          <w:rFonts w:cstheme="minorHAnsi"/>
          <w:i/>
          <w:iCs/>
        </w:rPr>
        <w:t xml:space="preserve">4. In caso di copertura assicurativa, la concessione del contributo è subordinata alla </w:t>
      </w:r>
      <w:r w:rsidRPr="006E7821">
        <w:rPr>
          <w:rFonts w:cstheme="minorHAnsi"/>
          <w:b/>
          <w:bCs/>
          <w:i/>
          <w:iCs/>
        </w:rPr>
        <w:t>dichiarazione</w:t>
      </w:r>
      <w:r w:rsidRPr="006E7821">
        <w:rPr>
          <w:rFonts w:cstheme="minorHAnsi"/>
          <w:i/>
          <w:iCs/>
        </w:rPr>
        <w:t xml:space="preserve"> che il beneficiario abbia esperito tutte le azioni ed adempimenti a suo carico per ottenere l’indennizzo da parte della compagnia di assicurazioni”.</w:t>
      </w:r>
    </w:p>
    <w:p w14:paraId="0CF19E76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2C58BA7C" w14:textId="3A2FA347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12</w:t>
      </w:r>
    </w:p>
    <w:p w14:paraId="0916D866" w14:textId="77777777" w:rsidR="006E7821" w:rsidRDefault="00BF4798" w:rsidP="006E7821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chiede </w:t>
      </w:r>
      <w:r w:rsidR="006E7821">
        <w:rPr>
          <w:rFonts w:cstheme="minorHAnsi"/>
          <w:lang w:val="it-IT"/>
        </w:rPr>
        <w:t>domanda conferma della tempistica dell’accertamento della seguente documentazione</w:t>
      </w:r>
    </w:p>
    <w:p w14:paraId="757A7C6B" w14:textId="377F17B5" w:rsidR="006E7821" w:rsidRDefault="006E7821" w:rsidP="00060FA0">
      <w:pPr>
        <w:pStyle w:val="Paragrafoelenco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Clausole di tracciabilità e riferimenti al CCNL: decreto (struttura commissariale)</w:t>
      </w:r>
    </w:p>
    <w:p w14:paraId="060D7A55" w14:textId="50EFF6CE" w:rsidR="006E7821" w:rsidRPr="006E7821" w:rsidRDefault="006E7821" w:rsidP="006E7821">
      <w:pPr>
        <w:pStyle w:val="Paragrafoelenco"/>
        <w:numPr>
          <w:ilvl w:val="1"/>
          <w:numId w:val="13"/>
        </w:numPr>
        <w:jc w:val="both"/>
        <w:rPr>
          <w:rFonts w:cstheme="minorHAnsi"/>
          <w:i/>
          <w:iCs/>
        </w:rPr>
      </w:pPr>
      <w:r w:rsidRPr="006E7821">
        <w:rPr>
          <w:rFonts w:cstheme="minorHAnsi"/>
          <w:i/>
          <w:iCs/>
        </w:rPr>
        <w:t>SUGGERIMENTO RISPOSTA:</w:t>
      </w:r>
      <w:r>
        <w:rPr>
          <w:rFonts w:cstheme="minorHAnsi"/>
          <w:i/>
          <w:iCs/>
        </w:rPr>
        <w:t xml:space="preserve"> a</w:t>
      </w:r>
      <w:r w:rsidRPr="00EC7A49">
        <w:rPr>
          <w:rFonts w:cstheme="minorHAnsi"/>
          <w:i/>
          <w:iCs/>
        </w:rPr>
        <w:t xml:space="preserve">rt. 14, c. 3 “Qualora dalle predette verifiche emerga che i contributi sono stati concessi in carenza dei necessari presupposti, il Commissario straordinario dispone </w:t>
      </w:r>
      <w:r w:rsidRPr="00EC7A49">
        <w:rPr>
          <w:rFonts w:cstheme="minorHAnsi"/>
          <w:b/>
          <w:bCs/>
          <w:i/>
          <w:iCs/>
        </w:rPr>
        <w:t>l’annullamento o la revoca, anche parziale, del decreto di concessione dei contributi e provvede a richiedere la restituzione</w:t>
      </w:r>
      <w:r w:rsidRPr="00EC7A49">
        <w:rPr>
          <w:rFonts w:cstheme="minorHAnsi"/>
          <w:i/>
          <w:iCs/>
        </w:rPr>
        <w:t xml:space="preserve"> delle</w:t>
      </w:r>
      <w:r>
        <w:rPr>
          <w:rFonts w:cstheme="minorHAnsi"/>
          <w:i/>
          <w:iCs/>
        </w:rPr>
        <w:t xml:space="preserve"> </w:t>
      </w:r>
      <w:r w:rsidRPr="00EC7A49">
        <w:rPr>
          <w:rFonts w:cstheme="minorHAnsi"/>
          <w:i/>
          <w:iCs/>
        </w:rPr>
        <w:t>eventuali somme indebitamente percepite.”</w:t>
      </w:r>
      <w:r>
        <w:rPr>
          <w:rFonts w:cstheme="minorHAnsi"/>
          <w:i/>
          <w:iCs/>
        </w:rPr>
        <w:t xml:space="preserve"> </w:t>
      </w:r>
    </w:p>
    <w:p w14:paraId="62F6E190" w14:textId="443D8004" w:rsidR="00BF4798" w:rsidRDefault="006E7821" w:rsidP="00060FA0">
      <w:pPr>
        <w:pStyle w:val="Paragrafoelenco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Fatture con CUP o autodichiarazione: a rendicontazione (</w:t>
      </w:r>
      <w:r w:rsidRPr="006E7821">
        <w:rPr>
          <w:rFonts w:cstheme="minorHAnsi"/>
        </w:rPr>
        <w:t>Invitalia/Comune)</w:t>
      </w:r>
    </w:p>
    <w:p w14:paraId="69497C41" w14:textId="740D44D9" w:rsidR="006E7821" w:rsidRPr="0048446D" w:rsidRDefault="006E7821" w:rsidP="00AD5BE5">
      <w:pPr>
        <w:pStyle w:val="Paragrafoelenco"/>
        <w:numPr>
          <w:ilvl w:val="1"/>
          <w:numId w:val="13"/>
        </w:numPr>
        <w:jc w:val="both"/>
        <w:rPr>
          <w:rFonts w:cstheme="minorHAnsi"/>
          <w:i/>
          <w:iCs/>
        </w:rPr>
      </w:pPr>
      <w:r w:rsidRPr="0048446D">
        <w:rPr>
          <w:rFonts w:cstheme="minorHAnsi"/>
          <w:i/>
          <w:iCs/>
        </w:rPr>
        <w:lastRenderedPageBreak/>
        <w:t xml:space="preserve">SUGGERIMENTO RISPOSTA: </w:t>
      </w:r>
      <w:r w:rsidR="0048446D" w:rsidRPr="0048446D">
        <w:rPr>
          <w:rFonts w:cstheme="minorHAnsi"/>
          <w:i/>
          <w:iCs/>
        </w:rPr>
        <w:t>art. 12, c. 5: “Al termine dell’attività di rendicontazione da parte dell’impresa beneficiaria, il comune, ovvero la struttura di supporto appositamente convenzionata, ove attivata, deve […] 3) verifica dei bonifici bancari e dell’esatta indicazione del titolo di spesa quietanzato; detti documenti dovranno riportare il CUP o un’autodichiarazione che attesti il nesso tra le spese sostenute e il CUP assegnato in fase di concessione per le spese sostenute</w:t>
      </w:r>
      <w:r w:rsidR="0048446D">
        <w:rPr>
          <w:rFonts w:cstheme="minorHAnsi"/>
          <w:i/>
          <w:iCs/>
        </w:rPr>
        <w:t xml:space="preserve"> </w:t>
      </w:r>
      <w:r w:rsidR="0048446D" w:rsidRPr="0048446D">
        <w:rPr>
          <w:rFonts w:cstheme="minorHAnsi"/>
          <w:i/>
          <w:iCs/>
        </w:rPr>
        <w:t>precedentemente alla presentazione della domanda di contributo”.</w:t>
      </w:r>
    </w:p>
    <w:p w14:paraId="5097B4EE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6704FC01" w14:textId="656133BC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b/>
          <w:bCs/>
          <w:smallCaps/>
          <w:lang w:val="it-IT"/>
        </w:rPr>
        <w:t xml:space="preserve">Quesito n. </w:t>
      </w:r>
      <w:r>
        <w:rPr>
          <w:rFonts w:cstheme="minorHAnsi"/>
          <w:b/>
          <w:bCs/>
          <w:smallCaps/>
          <w:lang w:val="it-IT"/>
        </w:rPr>
        <w:t>13</w:t>
      </w:r>
      <w:r w:rsidR="00021103">
        <w:rPr>
          <w:rFonts w:cstheme="minorHAnsi"/>
          <w:b/>
          <w:bCs/>
          <w:smallCaps/>
          <w:lang w:val="it-IT"/>
        </w:rPr>
        <w:t xml:space="preserve"> – questione da approfondire </w:t>
      </w:r>
    </w:p>
    <w:p w14:paraId="5FB7D9AD" w14:textId="166A008C" w:rsidR="0048446D" w:rsidRDefault="0048446D" w:rsidP="0048446D">
      <w:pPr>
        <w:jc w:val="both"/>
        <w:rPr>
          <w:rFonts w:cstheme="minorHAnsi"/>
          <w:lang w:val="it-IT"/>
        </w:rPr>
      </w:pPr>
      <w:r w:rsidRPr="0048446D">
        <w:rPr>
          <w:rFonts w:cstheme="minorHAnsi"/>
          <w:lang w:val="it-IT"/>
        </w:rPr>
        <w:t>All'art 3</w:t>
      </w:r>
      <w:r>
        <w:rPr>
          <w:rFonts w:cstheme="minorHAnsi"/>
          <w:lang w:val="it-IT"/>
        </w:rPr>
        <w:t xml:space="preserve">, c. </w:t>
      </w:r>
      <w:r w:rsidRPr="0048446D">
        <w:rPr>
          <w:rFonts w:cstheme="minorHAnsi"/>
          <w:lang w:val="it-IT"/>
        </w:rPr>
        <w:t>7</w:t>
      </w:r>
      <w:r>
        <w:rPr>
          <w:rFonts w:cstheme="minorHAnsi"/>
          <w:lang w:val="it-IT"/>
        </w:rPr>
        <w:t>, Ord. n. 11/2023</w:t>
      </w:r>
      <w:r w:rsidRPr="0048446D">
        <w:rPr>
          <w:rFonts w:cstheme="minorHAnsi"/>
          <w:lang w:val="it-IT"/>
        </w:rPr>
        <w:t xml:space="preserve"> si fa riferimento alle percentuali massime ammissibili per il costo della progettazione, direzione lavori etc</w:t>
      </w:r>
      <w:r>
        <w:rPr>
          <w:rFonts w:cstheme="minorHAnsi"/>
          <w:lang w:val="it-IT"/>
        </w:rPr>
        <w:t>. A tale riguardo, l’impresa chiede se</w:t>
      </w:r>
      <w:r w:rsidRPr="0048446D">
        <w:rPr>
          <w:rFonts w:cstheme="minorHAnsi"/>
          <w:lang w:val="it-IT"/>
        </w:rPr>
        <w:t xml:space="preserve"> nel computo della</w:t>
      </w:r>
      <w:r>
        <w:rPr>
          <w:rFonts w:cstheme="minorHAnsi"/>
          <w:lang w:val="it-IT"/>
        </w:rPr>
        <w:t xml:space="preserve"> citata</w:t>
      </w:r>
      <w:r w:rsidRPr="0048446D">
        <w:rPr>
          <w:rFonts w:cstheme="minorHAnsi"/>
          <w:lang w:val="it-IT"/>
        </w:rPr>
        <w:t xml:space="preserve"> percentuale </w:t>
      </w:r>
      <w:r>
        <w:rPr>
          <w:rFonts w:cstheme="minorHAnsi"/>
          <w:lang w:val="it-IT"/>
        </w:rPr>
        <w:t>occorre</w:t>
      </w:r>
      <w:r w:rsidRPr="0048446D">
        <w:rPr>
          <w:rFonts w:cstheme="minorHAnsi"/>
          <w:lang w:val="it-IT"/>
        </w:rPr>
        <w:t xml:space="preserve"> far</w:t>
      </w:r>
      <w:r>
        <w:rPr>
          <w:rFonts w:cstheme="minorHAnsi"/>
          <w:lang w:val="it-IT"/>
        </w:rPr>
        <w:t>e</w:t>
      </w:r>
      <w:r w:rsidRPr="0048446D">
        <w:rPr>
          <w:rFonts w:cstheme="minorHAnsi"/>
          <w:lang w:val="it-IT"/>
        </w:rPr>
        <w:t xml:space="preserve"> riferimento a tutte le prestazioni da rendere (</w:t>
      </w:r>
      <w:r>
        <w:rPr>
          <w:rFonts w:cstheme="minorHAnsi"/>
          <w:lang w:val="it-IT"/>
        </w:rPr>
        <w:t>quali</w:t>
      </w:r>
      <w:r w:rsidRPr="0048446D">
        <w:rPr>
          <w:rFonts w:cstheme="minorHAnsi"/>
          <w:lang w:val="it-IT"/>
        </w:rPr>
        <w:t xml:space="preserve"> progetto architettonico</w:t>
      </w:r>
      <w:r>
        <w:rPr>
          <w:rFonts w:cstheme="minorHAnsi"/>
          <w:lang w:val="it-IT"/>
        </w:rPr>
        <w:t>,</w:t>
      </w:r>
      <w:r w:rsidRPr="0048446D">
        <w:rPr>
          <w:rFonts w:cstheme="minorHAnsi"/>
          <w:lang w:val="it-IT"/>
        </w:rPr>
        <w:t xml:space="preserve"> strutturale</w:t>
      </w:r>
      <w:r>
        <w:rPr>
          <w:rFonts w:cstheme="minorHAnsi"/>
          <w:lang w:val="it-IT"/>
        </w:rPr>
        <w:t>,</w:t>
      </w:r>
      <w:r w:rsidRPr="0048446D">
        <w:rPr>
          <w:rFonts w:cstheme="minorHAnsi"/>
          <w:lang w:val="it-IT"/>
        </w:rPr>
        <w:t xml:space="preserve"> rel</w:t>
      </w:r>
      <w:r>
        <w:rPr>
          <w:rFonts w:cstheme="minorHAnsi"/>
          <w:lang w:val="it-IT"/>
        </w:rPr>
        <w:t>azione</w:t>
      </w:r>
      <w:r w:rsidRPr="0048446D">
        <w:rPr>
          <w:rFonts w:cstheme="minorHAnsi"/>
          <w:lang w:val="it-IT"/>
        </w:rPr>
        <w:t xml:space="preserve"> geologica</w:t>
      </w:r>
      <w:r>
        <w:rPr>
          <w:rFonts w:cstheme="minorHAnsi"/>
          <w:lang w:val="it-IT"/>
        </w:rPr>
        <w:t>,</w:t>
      </w:r>
      <w:r w:rsidRPr="0048446D">
        <w:rPr>
          <w:rFonts w:cstheme="minorHAnsi"/>
          <w:lang w:val="it-IT"/>
        </w:rPr>
        <w:t xml:space="preserve"> coordinamento sicurezza</w:t>
      </w:r>
      <w:r>
        <w:rPr>
          <w:rFonts w:cstheme="minorHAnsi"/>
          <w:lang w:val="it-IT"/>
        </w:rPr>
        <w:t>…</w:t>
      </w:r>
      <w:r w:rsidRPr="0048446D">
        <w:rPr>
          <w:rFonts w:cstheme="minorHAnsi"/>
          <w:lang w:val="it-IT"/>
        </w:rPr>
        <w:t xml:space="preserve"> = 10% max) oppure bisogna far riferimento alla singola prestazione (</w:t>
      </w:r>
      <w:r>
        <w:rPr>
          <w:rFonts w:cstheme="minorHAnsi"/>
          <w:lang w:val="it-IT"/>
        </w:rPr>
        <w:t xml:space="preserve">ad </w:t>
      </w:r>
      <w:r w:rsidRPr="0048446D">
        <w:rPr>
          <w:rFonts w:cstheme="minorHAnsi"/>
          <w:lang w:val="it-IT"/>
        </w:rPr>
        <w:t>es</w:t>
      </w:r>
      <w:r>
        <w:rPr>
          <w:rFonts w:cstheme="minorHAnsi"/>
          <w:lang w:val="it-IT"/>
        </w:rPr>
        <w:t>.</w:t>
      </w:r>
      <w:r w:rsidRPr="0048446D">
        <w:rPr>
          <w:rFonts w:cstheme="minorHAnsi"/>
          <w:lang w:val="it-IT"/>
        </w:rPr>
        <w:t xml:space="preserve"> progettazione architettonica = 10%</w:t>
      </w:r>
      <w:r>
        <w:rPr>
          <w:rFonts w:cstheme="minorHAnsi"/>
          <w:lang w:val="it-IT"/>
        </w:rPr>
        <w:t xml:space="preserve"> </w:t>
      </w:r>
      <w:r w:rsidRPr="0048446D">
        <w:rPr>
          <w:rFonts w:cstheme="minorHAnsi"/>
          <w:lang w:val="it-IT"/>
        </w:rPr>
        <w:t>max</w:t>
      </w:r>
      <w:r>
        <w:rPr>
          <w:rFonts w:cstheme="minorHAnsi"/>
          <w:lang w:val="it-IT"/>
        </w:rPr>
        <w:t>; progettazione</w:t>
      </w:r>
      <w:r w:rsidRPr="0048446D">
        <w:rPr>
          <w:rFonts w:cstheme="minorHAnsi"/>
          <w:lang w:val="it-IT"/>
        </w:rPr>
        <w:t xml:space="preserve"> strutturale = 10% max </w:t>
      </w:r>
      <w:r>
        <w:rPr>
          <w:rFonts w:cstheme="minorHAnsi"/>
          <w:lang w:val="it-IT"/>
        </w:rPr>
        <w:t>…</w:t>
      </w:r>
      <w:r w:rsidRPr="0048446D">
        <w:rPr>
          <w:rFonts w:cstheme="minorHAnsi"/>
          <w:lang w:val="it-IT"/>
        </w:rPr>
        <w:t>)</w:t>
      </w:r>
      <w:r>
        <w:rPr>
          <w:rFonts w:cstheme="minorHAnsi"/>
          <w:lang w:val="it-IT"/>
        </w:rPr>
        <w:t xml:space="preserve">. Inoltre, qualora si propenda per la prima ipotesi, </w:t>
      </w:r>
      <w:r w:rsidRPr="0048446D">
        <w:rPr>
          <w:rFonts w:cstheme="minorHAnsi"/>
          <w:lang w:val="it-IT"/>
        </w:rPr>
        <w:t>come si concilia con la legge sull'equo compenso?</w:t>
      </w:r>
    </w:p>
    <w:p w14:paraId="29E72C8E" w14:textId="77777777" w:rsidR="00BF4798" w:rsidRPr="00F05C81" w:rsidRDefault="00BF4798" w:rsidP="00BF4798">
      <w:pPr>
        <w:spacing w:before="240"/>
        <w:jc w:val="center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>*****</w:t>
      </w:r>
    </w:p>
    <w:p w14:paraId="24A51A6E" w14:textId="3C290E4E" w:rsidR="00BF4798" w:rsidRPr="00F05C81" w:rsidRDefault="00BF4798" w:rsidP="00BF4798">
      <w:pPr>
        <w:jc w:val="both"/>
        <w:rPr>
          <w:rFonts w:cstheme="minorHAnsi"/>
          <w:lang w:val="it-IT"/>
        </w:rPr>
      </w:pPr>
      <w:r w:rsidRPr="00DE3231">
        <w:rPr>
          <w:rFonts w:cstheme="minorHAnsi"/>
          <w:b/>
          <w:bCs/>
          <w:smallCaps/>
          <w:highlight w:val="yellow"/>
          <w:lang w:val="it-IT"/>
        </w:rPr>
        <w:t>Quesito n. 14</w:t>
      </w:r>
    </w:p>
    <w:p w14:paraId="6CF3B571" w14:textId="21132993" w:rsidR="00BF4798" w:rsidRDefault="00BF4798" w:rsidP="00BF4798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L’impresa chiede </w:t>
      </w:r>
      <w:r w:rsidR="0048446D">
        <w:rPr>
          <w:rFonts w:cstheme="minorHAnsi"/>
          <w:lang w:val="it-IT"/>
        </w:rPr>
        <w:t>se occorra</w:t>
      </w:r>
      <w:r w:rsidR="0048446D" w:rsidRPr="0048446D">
        <w:rPr>
          <w:rFonts w:cstheme="minorHAnsi"/>
          <w:lang w:val="it-IT"/>
        </w:rPr>
        <w:t xml:space="preserve"> applicare sempre il </w:t>
      </w:r>
      <w:r w:rsidR="00DE3231">
        <w:rPr>
          <w:rFonts w:cstheme="minorHAnsi"/>
          <w:lang w:val="it-IT"/>
        </w:rPr>
        <w:t>Documento Unico di regolarità Contributiva (</w:t>
      </w:r>
      <w:r w:rsidR="0048446D" w:rsidRPr="0048446D">
        <w:rPr>
          <w:rFonts w:cstheme="minorHAnsi"/>
          <w:lang w:val="it-IT"/>
        </w:rPr>
        <w:t>DURC</w:t>
      </w:r>
      <w:r w:rsidR="00DE3231">
        <w:rPr>
          <w:rFonts w:cstheme="minorHAnsi"/>
          <w:lang w:val="it-IT"/>
        </w:rPr>
        <w:t>)</w:t>
      </w:r>
      <w:r w:rsidR="0048446D" w:rsidRPr="0048446D">
        <w:rPr>
          <w:rFonts w:cstheme="minorHAnsi"/>
          <w:lang w:val="it-IT"/>
        </w:rPr>
        <w:t xml:space="preserve"> di congruità o solo nel caso in cui i lavori superino i 70mila euro (quindi facendo riferimento ai lavori privati)?</w:t>
      </w:r>
    </w:p>
    <w:p w14:paraId="0926E666" w14:textId="2F29AE86" w:rsidR="006A6729" w:rsidRPr="00DE3231" w:rsidRDefault="00DE3231" w:rsidP="00DE3231">
      <w:pPr>
        <w:jc w:val="both"/>
        <w:rPr>
          <w:rFonts w:cstheme="minorHAnsi"/>
          <w:i/>
          <w:iCs/>
          <w:lang w:val="it-IT"/>
        </w:rPr>
      </w:pPr>
      <w:r w:rsidRPr="00DE3231">
        <w:rPr>
          <w:rFonts w:cstheme="minorHAnsi"/>
          <w:i/>
          <w:iCs/>
          <w:lang w:val="it-IT"/>
        </w:rPr>
        <w:t xml:space="preserve">SUGGERIMENTO RISPOSTA: </w:t>
      </w:r>
      <w:r w:rsidR="000C1BCD">
        <w:rPr>
          <w:rFonts w:cstheme="minorHAnsi"/>
          <w:i/>
          <w:iCs/>
          <w:lang w:val="it-IT"/>
        </w:rPr>
        <w:t>per quanto di nostra conoscenza, il DURC deve sempre essere presentato</w:t>
      </w:r>
      <w:r w:rsidRPr="00DE3231">
        <w:rPr>
          <w:rFonts w:cstheme="minorHAnsi"/>
          <w:i/>
          <w:iCs/>
          <w:lang w:val="it-IT"/>
        </w:rPr>
        <w:t>.</w:t>
      </w:r>
    </w:p>
    <w:p w14:paraId="66A290FD" w14:textId="77777777" w:rsidR="00BF4798" w:rsidRDefault="00BF4798" w:rsidP="00AD015B">
      <w:pPr>
        <w:jc w:val="both"/>
        <w:rPr>
          <w:rFonts w:cstheme="minorHAnsi"/>
          <w:lang w:val="it-IT"/>
        </w:rPr>
      </w:pPr>
    </w:p>
    <w:p w14:paraId="11C4244D" w14:textId="77777777" w:rsidR="00BF4798" w:rsidRDefault="00BF4798" w:rsidP="00AD015B">
      <w:pPr>
        <w:jc w:val="both"/>
        <w:rPr>
          <w:rFonts w:cstheme="minorHAnsi"/>
          <w:lang w:val="it-IT"/>
        </w:rPr>
      </w:pPr>
    </w:p>
    <w:p w14:paraId="543C4783" w14:textId="3127E1B8" w:rsidR="00AD015B" w:rsidRPr="00F05C81" w:rsidRDefault="009751B6" w:rsidP="00AD015B">
      <w:pPr>
        <w:jc w:val="both"/>
        <w:rPr>
          <w:rFonts w:cstheme="minorHAnsi"/>
          <w:lang w:val="it-IT"/>
        </w:rPr>
      </w:pPr>
      <w:r w:rsidRPr="00F05C81">
        <w:rPr>
          <w:rFonts w:cstheme="minorHAnsi"/>
          <w:lang w:val="it-IT"/>
        </w:rPr>
        <w:t xml:space="preserve">Bologna, </w:t>
      </w:r>
      <w:r w:rsidR="00021103">
        <w:rPr>
          <w:rFonts w:cstheme="minorHAnsi"/>
          <w:lang w:val="it-IT"/>
        </w:rPr>
        <w:t>12</w:t>
      </w:r>
      <w:r w:rsidR="006A6729">
        <w:rPr>
          <w:rFonts w:cstheme="minorHAnsi"/>
          <w:lang w:val="it-IT"/>
        </w:rPr>
        <w:t xml:space="preserve"> marzo</w:t>
      </w:r>
      <w:r w:rsidRPr="00F05C81">
        <w:rPr>
          <w:rFonts w:cstheme="minorHAnsi"/>
          <w:lang w:val="it-IT"/>
        </w:rPr>
        <w:t xml:space="preserve"> 202</w:t>
      </w:r>
      <w:r w:rsidR="00C33D09" w:rsidRPr="00F05C81">
        <w:rPr>
          <w:rFonts w:cstheme="minorHAnsi"/>
          <w:lang w:val="it-IT"/>
        </w:rPr>
        <w:t>4</w:t>
      </w:r>
    </w:p>
    <w:p w14:paraId="1CE233E0" w14:textId="36EEFF7D" w:rsidR="007F5E01" w:rsidRPr="00F05C81" w:rsidRDefault="007F5E01" w:rsidP="00EF555D">
      <w:pPr>
        <w:rPr>
          <w:lang w:val="it-IT"/>
        </w:rPr>
      </w:pPr>
    </w:p>
    <w:sectPr w:rsidR="007F5E01" w:rsidRPr="00F05C81" w:rsidSect="00986280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664F" w14:textId="77777777" w:rsidR="00986280" w:rsidRDefault="00986280" w:rsidP="005955F0">
      <w:pPr>
        <w:spacing w:after="0" w:line="240" w:lineRule="auto"/>
      </w:pPr>
      <w:r>
        <w:separator/>
      </w:r>
    </w:p>
  </w:endnote>
  <w:endnote w:type="continuationSeparator" w:id="0">
    <w:p w14:paraId="480DEC58" w14:textId="77777777" w:rsidR="00986280" w:rsidRDefault="00986280" w:rsidP="0059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436752"/>
      <w:docPartObj>
        <w:docPartGallery w:val="Page Numbers (Bottom of Page)"/>
        <w:docPartUnique/>
      </w:docPartObj>
    </w:sdtPr>
    <w:sdtEndPr/>
    <w:sdtContent>
      <w:p w14:paraId="64CFCC48" w14:textId="767D5A24" w:rsidR="007F5E01" w:rsidRDefault="007F5E01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8EE8BE7" wp14:editId="27FEEAE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9EED0" w14:textId="77777777" w:rsidR="007F5E01" w:rsidRDefault="007F5E01" w:rsidP="007F5E01">
                              <w:pPr>
                                <w:pStyle w:val="Pidipagina"/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oval w14:anchorId="28EE8BE7" id="Ovale 3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6279EED0" w14:textId="77777777" w:rsidR="007F5E01" w:rsidRDefault="007F5E01" w:rsidP="007F5E01">
                        <w:pPr>
                          <w:pStyle w:val="Pidipagina"/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A571" w14:textId="77777777" w:rsidR="00986280" w:rsidRDefault="00986280" w:rsidP="005955F0">
      <w:pPr>
        <w:spacing w:after="0" w:line="240" w:lineRule="auto"/>
      </w:pPr>
      <w:r>
        <w:separator/>
      </w:r>
    </w:p>
  </w:footnote>
  <w:footnote w:type="continuationSeparator" w:id="0">
    <w:p w14:paraId="3C35146B" w14:textId="77777777" w:rsidR="00986280" w:rsidRDefault="00986280" w:rsidP="0059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8094" w14:textId="2AF4483F" w:rsidR="005955F0" w:rsidRDefault="005955F0" w:rsidP="00E87D7A">
    <w:pPr>
      <w:pStyle w:val="Intestazione"/>
      <w:ind w:left="-851"/>
    </w:pPr>
    <w:r>
      <w:rPr>
        <w:rFonts w:ascii="Cambria" w:hAnsi="Cambria"/>
        <w:b/>
        <w:noProof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78845BDF" wp14:editId="16EC62C8">
          <wp:simplePos x="0" y="0"/>
          <wp:positionH relativeFrom="column">
            <wp:posOffset>-567690</wp:posOffset>
          </wp:positionH>
          <wp:positionV relativeFrom="paragraph">
            <wp:posOffset>-189865</wp:posOffset>
          </wp:positionV>
          <wp:extent cx="1874520" cy="73152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FINDUSTRIA ER_FORMAT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23A"/>
    <w:multiLevelType w:val="hybridMultilevel"/>
    <w:tmpl w:val="E9C4B4F4"/>
    <w:lvl w:ilvl="0" w:tplc="DAA0C4E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83A1C"/>
    <w:multiLevelType w:val="hybridMultilevel"/>
    <w:tmpl w:val="2272B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2FB"/>
    <w:multiLevelType w:val="hybridMultilevel"/>
    <w:tmpl w:val="2708C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01B7"/>
    <w:multiLevelType w:val="hybridMultilevel"/>
    <w:tmpl w:val="E2241A06"/>
    <w:lvl w:ilvl="0" w:tplc="EA14B400">
      <w:numFmt w:val="bullet"/>
      <w:lvlText w:val=""/>
      <w:lvlJc w:val="left"/>
      <w:pPr>
        <w:ind w:left="652" w:hanging="360"/>
      </w:pPr>
      <w:rPr>
        <w:rFonts w:ascii="Symbol" w:eastAsia="Times New Roman" w:hAnsi="Symbol" w:cs="Helvetica" w:hint="default"/>
        <w:b/>
        <w:color w:val="14171A"/>
        <w:sz w:val="22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4" w15:restartNumberingAfterBreak="0">
    <w:nsid w:val="29A97ED8"/>
    <w:multiLevelType w:val="hybridMultilevel"/>
    <w:tmpl w:val="DA162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4DB7"/>
    <w:multiLevelType w:val="hybridMultilevel"/>
    <w:tmpl w:val="76D2CA6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863BC"/>
    <w:multiLevelType w:val="hybridMultilevel"/>
    <w:tmpl w:val="FD60E102"/>
    <w:lvl w:ilvl="0" w:tplc="04100017">
      <w:start w:val="1"/>
      <w:numFmt w:val="lowerLetter"/>
      <w:lvlText w:val="%1)"/>
      <w:lvlJc w:val="left"/>
      <w:pPr>
        <w:ind w:left="2629" w:hanging="360"/>
      </w:p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50841D3E"/>
    <w:multiLevelType w:val="hybridMultilevel"/>
    <w:tmpl w:val="F62EE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14F28"/>
    <w:multiLevelType w:val="hybridMultilevel"/>
    <w:tmpl w:val="DB062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1EA"/>
    <w:multiLevelType w:val="hybridMultilevel"/>
    <w:tmpl w:val="6F465DDC"/>
    <w:lvl w:ilvl="0" w:tplc="47FA9D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720BC"/>
    <w:multiLevelType w:val="hybridMultilevel"/>
    <w:tmpl w:val="137A7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F4894"/>
    <w:multiLevelType w:val="hybridMultilevel"/>
    <w:tmpl w:val="2F16D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305EB"/>
    <w:multiLevelType w:val="hybridMultilevel"/>
    <w:tmpl w:val="8E8AE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5988">
    <w:abstractNumId w:val="6"/>
  </w:num>
  <w:num w:numId="2" w16cid:durableId="1609119303">
    <w:abstractNumId w:val="9"/>
  </w:num>
  <w:num w:numId="3" w16cid:durableId="2011639606">
    <w:abstractNumId w:val="5"/>
  </w:num>
  <w:num w:numId="4" w16cid:durableId="506360914">
    <w:abstractNumId w:val="3"/>
  </w:num>
  <w:num w:numId="5" w16cid:durableId="104547594">
    <w:abstractNumId w:val="0"/>
  </w:num>
  <w:num w:numId="6" w16cid:durableId="639460573">
    <w:abstractNumId w:val="11"/>
  </w:num>
  <w:num w:numId="7" w16cid:durableId="719401558">
    <w:abstractNumId w:val="4"/>
  </w:num>
  <w:num w:numId="8" w16cid:durableId="236673359">
    <w:abstractNumId w:val="7"/>
  </w:num>
  <w:num w:numId="9" w16cid:durableId="897864458">
    <w:abstractNumId w:val="10"/>
  </w:num>
  <w:num w:numId="10" w16cid:durableId="1540512970">
    <w:abstractNumId w:val="1"/>
  </w:num>
  <w:num w:numId="11" w16cid:durableId="1348824583">
    <w:abstractNumId w:val="8"/>
  </w:num>
  <w:num w:numId="12" w16cid:durableId="1844586975">
    <w:abstractNumId w:val="12"/>
  </w:num>
  <w:num w:numId="13" w16cid:durableId="48316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3A"/>
    <w:rsid w:val="00021103"/>
    <w:rsid w:val="00037268"/>
    <w:rsid w:val="00040266"/>
    <w:rsid w:val="00041947"/>
    <w:rsid w:val="00070C53"/>
    <w:rsid w:val="00081789"/>
    <w:rsid w:val="00096EA0"/>
    <w:rsid w:val="000A5111"/>
    <w:rsid w:val="000C1BCD"/>
    <w:rsid w:val="000C49F2"/>
    <w:rsid w:val="000F441F"/>
    <w:rsid w:val="001037C4"/>
    <w:rsid w:val="0011087D"/>
    <w:rsid w:val="00116FAA"/>
    <w:rsid w:val="00117A63"/>
    <w:rsid w:val="00132F3D"/>
    <w:rsid w:val="001509AC"/>
    <w:rsid w:val="00181081"/>
    <w:rsid w:val="001A61BF"/>
    <w:rsid w:val="00202300"/>
    <w:rsid w:val="0020676E"/>
    <w:rsid w:val="002550E0"/>
    <w:rsid w:val="002623D9"/>
    <w:rsid w:val="002635E5"/>
    <w:rsid w:val="0026487A"/>
    <w:rsid w:val="00287F8C"/>
    <w:rsid w:val="002913FE"/>
    <w:rsid w:val="00295A9B"/>
    <w:rsid w:val="0029723F"/>
    <w:rsid w:val="002B0E09"/>
    <w:rsid w:val="002B1D63"/>
    <w:rsid w:val="002B4A5F"/>
    <w:rsid w:val="002C3495"/>
    <w:rsid w:val="002D6DBF"/>
    <w:rsid w:val="002E117D"/>
    <w:rsid w:val="00300C0B"/>
    <w:rsid w:val="00344947"/>
    <w:rsid w:val="003668E8"/>
    <w:rsid w:val="00371790"/>
    <w:rsid w:val="003732EB"/>
    <w:rsid w:val="0038569B"/>
    <w:rsid w:val="003B166A"/>
    <w:rsid w:val="003C5390"/>
    <w:rsid w:val="003E58CF"/>
    <w:rsid w:val="00404F71"/>
    <w:rsid w:val="00414D28"/>
    <w:rsid w:val="00424E3E"/>
    <w:rsid w:val="00445D93"/>
    <w:rsid w:val="00455C95"/>
    <w:rsid w:val="004734FA"/>
    <w:rsid w:val="00482BF8"/>
    <w:rsid w:val="0048446D"/>
    <w:rsid w:val="004A37E2"/>
    <w:rsid w:val="004B212E"/>
    <w:rsid w:val="004B6509"/>
    <w:rsid w:val="004D4909"/>
    <w:rsid w:val="004E6666"/>
    <w:rsid w:val="00505E77"/>
    <w:rsid w:val="0051108C"/>
    <w:rsid w:val="005129D0"/>
    <w:rsid w:val="00514CC1"/>
    <w:rsid w:val="00540EA0"/>
    <w:rsid w:val="00573BDB"/>
    <w:rsid w:val="00594A26"/>
    <w:rsid w:val="0059506B"/>
    <w:rsid w:val="005955F0"/>
    <w:rsid w:val="0059765B"/>
    <w:rsid w:val="005B18BA"/>
    <w:rsid w:val="005B204C"/>
    <w:rsid w:val="005B78FC"/>
    <w:rsid w:val="005C76F7"/>
    <w:rsid w:val="005D6D61"/>
    <w:rsid w:val="0060178C"/>
    <w:rsid w:val="00630C90"/>
    <w:rsid w:val="0064223F"/>
    <w:rsid w:val="0068563D"/>
    <w:rsid w:val="006A6729"/>
    <w:rsid w:val="006A7FE0"/>
    <w:rsid w:val="006D2636"/>
    <w:rsid w:val="006E51B2"/>
    <w:rsid w:val="006E6EE2"/>
    <w:rsid w:val="006E7821"/>
    <w:rsid w:val="006F2F39"/>
    <w:rsid w:val="006F67BB"/>
    <w:rsid w:val="006F7998"/>
    <w:rsid w:val="00704BE3"/>
    <w:rsid w:val="00710F16"/>
    <w:rsid w:val="00747E85"/>
    <w:rsid w:val="00750B36"/>
    <w:rsid w:val="00763532"/>
    <w:rsid w:val="007A422C"/>
    <w:rsid w:val="007C40DE"/>
    <w:rsid w:val="007C762E"/>
    <w:rsid w:val="007E4CCB"/>
    <w:rsid w:val="007F5E01"/>
    <w:rsid w:val="007F7961"/>
    <w:rsid w:val="00800416"/>
    <w:rsid w:val="008249E2"/>
    <w:rsid w:val="00824C8E"/>
    <w:rsid w:val="008267A3"/>
    <w:rsid w:val="0083083D"/>
    <w:rsid w:val="00834E55"/>
    <w:rsid w:val="008774CB"/>
    <w:rsid w:val="008834B3"/>
    <w:rsid w:val="008B5319"/>
    <w:rsid w:val="008C000E"/>
    <w:rsid w:val="008C759A"/>
    <w:rsid w:val="008D5365"/>
    <w:rsid w:val="008E25D7"/>
    <w:rsid w:val="008F4FBF"/>
    <w:rsid w:val="00900BAF"/>
    <w:rsid w:val="00901496"/>
    <w:rsid w:val="00903198"/>
    <w:rsid w:val="009456D6"/>
    <w:rsid w:val="009751B6"/>
    <w:rsid w:val="00986280"/>
    <w:rsid w:val="00995543"/>
    <w:rsid w:val="009C2E11"/>
    <w:rsid w:val="009C3BFA"/>
    <w:rsid w:val="009F48CB"/>
    <w:rsid w:val="00A04DBC"/>
    <w:rsid w:val="00A21CEC"/>
    <w:rsid w:val="00A24800"/>
    <w:rsid w:val="00A63E0F"/>
    <w:rsid w:val="00A64BF8"/>
    <w:rsid w:val="00A75739"/>
    <w:rsid w:val="00A852FD"/>
    <w:rsid w:val="00A854B6"/>
    <w:rsid w:val="00AA53FC"/>
    <w:rsid w:val="00AA644C"/>
    <w:rsid w:val="00AA75B5"/>
    <w:rsid w:val="00AB031F"/>
    <w:rsid w:val="00AD015B"/>
    <w:rsid w:val="00B073DA"/>
    <w:rsid w:val="00B126EB"/>
    <w:rsid w:val="00B36534"/>
    <w:rsid w:val="00B41433"/>
    <w:rsid w:val="00B57C11"/>
    <w:rsid w:val="00B7641E"/>
    <w:rsid w:val="00B85B00"/>
    <w:rsid w:val="00BA1382"/>
    <w:rsid w:val="00BB206F"/>
    <w:rsid w:val="00BF4798"/>
    <w:rsid w:val="00C031C6"/>
    <w:rsid w:val="00C14613"/>
    <w:rsid w:val="00C31087"/>
    <w:rsid w:val="00C33D09"/>
    <w:rsid w:val="00C43ECD"/>
    <w:rsid w:val="00C44842"/>
    <w:rsid w:val="00C50C4D"/>
    <w:rsid w:val="00C56B3C"/>
    <w:rsid w:val="00C81861"/>
    <w:rsid w:val="00C8579E"/>
    <w:rsid w:val="00C87DED"/>
    <w:rsid w:val="00C929AB"/>
    <w:rsid w:val="00CD0A62"/>
    <w:rsid w:val="00CD22D9"/>
    <w:rsid w:val="00CD6E7C"/>
    <w:rsid w:val="00CE39A9"/>
    <w:rsid w:val="00D356BE"/>
    <w:rsid w:val="00D37953"/>
    <w:rsid w:val="00D572CE"/>
    <w:rsid w:val="00D6274E"/>
    <w:rsid w:val="00D67E86"/>
    <w:rsid w:val="00D72CB4"/>
    <w:rsid w:val="00D812C1"/>
    <w:rsid w:val="00DC2D9F"/>
    <w:rsid w:val="00DC52A8"/>
    <w:rsid w:val="00DE3231"/>
    <w:rsid w:val="00DF143F"/>
    <w:rsid w:val="00DF6043"/>
    <w:rsid w:val="00E0098C"/>
    <w:rsid w:val="00E13E82"/>
    <w:rsid w:val="00E2263A"/>
    <w:rsid w:val="00E31D9B"/>
    <w:rsid w:val="00E323C9"/>
    <w:rsid w:val="00E43F91"/>
    <w:rsid w:val="00E7602A"/>
    <w:rsid w:val="00E7681F"/>
    <w:rsid w:val="00E8147C"/>
    <w:rsid w:val="00E84D55"/>
    <w:rsid w:val="00E87D7A"/>
    <w:rsid w:val="00EC3CF4"/>
    <w:rsid w:val="00EC4449"/>
    <w:rsid w:val="00EC7A49"/>
    <w:rsid w:val="00ED284F"/>
    <w:rsid w:val="00EE0E2C"/>
    <w:rsid w:val="00EE1F36"/>
    <w:rsid w:val="00EF555D"/>
    <w:rsid w:val="00EF7588"/>
    <w:rsid w:val="00F01E88"/>
    <w:rsid w:val="00F05C81"/>
    <w:rsid w:val="00F63874"/>
    <w:rsid w:val="00F7231E"/>
    <w:rsid w:val="00F74031"/>
    <w:rsid w:val="00F96C8E"/>
    <w:rsid w:val="00F97AA2"/>
    <w:rsid w:val="00FD3A41"/>
    <w:rsid w:val="00FD7FFE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B54F3"/>
  <w15:docId w15:val="{E40319C9-DA28-489D-BDBD-F4A578E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E55"/>
    <w:rPr>
      <w:rFonts w:eastAsiaTheme="minorEastAsia"/>
      <w:lang w:val="en-US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4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 w:eastAsia="en-US"/>
    </w:rPr>
  </w:style>
  <w:style w:type="paragraph" w:styleId="Titolo5">
    <w:name w:val="heading 5"/>
    <w:basedOn w:val="Normale"/>
    <w:link w:val="Titolo5Carattere"/>
    <w:uiPriority w:val="9"/>
    <w:qFormat/>
    <w:rsid w:val="00E22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E2263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63A"/>
    <w:pPr>
      <w:ind w:left="720"/>
      <w:contextualSpacing/>
    </w:pPr>
    <w:rPr>
      <w:rFonts w:eastAsiaTheme="minorHAnsi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CCB"/>
    <w:pPr>
      <w:spacing w:after="0" w:line="240" w:lineRule="auto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C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0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55F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5F0"/>
  </w:style>
  <w:style w:type="paragraph" w:styleId="Pidipagina">
    <w:name w:val="footer"/>
    <w:basedOn w:val="Normale"/>
    <w:link w:val="PidipaginaCarattere"/>
    <w:uiPriority w:val="99"/>
    <w:unhideWhenUsed/>
    <w:rsid w:val="005955F0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5F0"/>
  </w:style>
  <w:style w:type="character" w:customStyle="1" w:styleId="Titolo1Carattere">
    <w:name w:val="Titolo 1 Carattere"/>
    <w:basedOn w:val="Carpredefinitoparagrafo"/>
    <w:link w:val="Titolo1"/>
    <w:uiPriority w:val="9"/>
    <w:rsid w:val="00834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4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4E55"/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0517-6764-42C0-A128-C3A93BF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11209</Characters>
  <Application>Microsoft Office Word</Application>
  <DocSecurity>4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Medea Bertolani</dc:creator>
  <cp:lastModifiedBy>Sabrina Garattoni</cp:lastModifiedBy>
  <cp:revision>2</cp:revision>
  <cp:lastPrinted>2020-10-08T15:30:00Z</cp:lastPrinted>
  <dcterms:created xsi:type="dcterms:W3CDTF">2024-03-14T14:06:00Z</dcterms:created>
  <dcterms:modified xsi:type="dcterms:W3CDTF">2024-03-14T14:06:00Z</dcterms:modified>
</cp:coreProperties>
</file>